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1C276C" w:rsidTr="001C276C">
        <w:trPr>
          <w:trHeight w:val="360"/>
          <w:jc w:val="center"/>
        </w:trPr>
        <w:tc>
          <w:tcPr>
            <w:tcW w:w="9365" w:type="dxa"/>
            <w:hideMark/>
          </w:tcPr>
          <w:p w:rsidR="001C276C" w:rsidRDefault="002F5226" w:rsidP="00457B60">
            <w:pPr>
              <w:suppressLineNumbers/>
              <w:spacing w:after="120" w:line="360" w:lineRule="auto"/>
              <w:ind w:left="319"/>
              <w:jc w:val="both"/>
              <w:rPr>
                <w:b/>
                <w:bCs/>
              </w:rPr>
            </w:pPr>
            <w:r>
              <w:rPr>
                <w:rFonts w:hint="cs"/>
                <w:b/>
                <w:bCs/>
                <w:rtl/>
              </w:rPr>
              <w:t>לפני הרכב כבוד השופטים:</w:t>
            </w:r>
          </w:p>
          <w:p w:rsidR="001C276C" w:rsidRDefault="002F5226" w:rsidP="00457B60">
            <w:pPr>
              <w:suppressLineNumbers/>
              <w:spacing w:after="120"/>
              <w:ind w:left="319"/>
              <w:rPr>
                <w:b/>
                <w:bCs/>
                <w:rtl/>
              </w:rPr>
            </w:pPr>
            <w:r>
              <w:rPr>
                <w:rFonts w:hint="cs"/>
                <w:b/>
                <w:bCs/>
                <w:rtl/>
              </w:rPr>
              <w:t>חננאל שרעבי [אב"ד]</w:t>
            </w:r>
          </w:p>
          <w:p w:rsidR="001C276C" w:rsidRDefault="002F5226" w:rsidP="00457B60">
            <w:pPr>
              <w:suppressLineNumbers/>
              <w:spacing w:after="120"/>
              <w:ind w:left="319"/>
              <w:rPr>
                <w:b/>
                <w:bCs/>
                <w:rtl/>
              </w:rPr>
            </w:pPr>
            <w:r>
              <w:rPr>
                <w:rFonts w:hint="cs"/>
                <w:b/>
                <w:bCs/>
                <w:rtl/>
              </w:rPr>
              <w:t>אספרנצה אלון</w:t>
            </w:r>
          </w:p>
          <w:p w:rsidR="001C276C" w:rsidRDefault="00F3524A" w:rsidP="00457B60">
            <w:pPr>
              <w:suppressLineNumbers/>
              <w:spacing w:after="120"/>
              <w:ind w:left="319"/>
              <w:rPr>
                <w:b/>
                <w:bCs/>
                <w:rtl/>
              </w:rPr>
            </w:pPr>
            <w:sdt>
              <w:sdtPr>
                <w:rPr>
                  <w:rFonts w:hint="cs"/>
                  <w:rtl/>
                </w:rPr>
                <w:alias w:val="165"/>
                <w:tag w:val="165"/>
                <w:id w:val="584732177"/>
                <w:text w:multiLine="1"/>
              </w:sdtPr>
              <w:sdtEndPr/>
              <w:sdtContent>
                <w:r w:rsidR="002F5226">
                  <w:rPr>
                    <w:rFonts w:hint="cs"/>
                    <w:b/>
                    <w:bCs/>
                    <w:rtl/>
                  </w:rPr>
                  <w:t>אריה נאמן</w:t>
                </w:r>
              </w:sdtContent>
            </w:sdt>
          </w:p>
        </w:tc>
      </w:tr>
    </w:tbl>
    <w:tbl>
      <w:tblPr>
        <w:tblStyle w:val="ac"/>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4"/>
        <w:gridCol w:w="3212"/>
        <w:gridCol w:w="5608"/>
        <w:gridCol w:w="126"/>
      </w:tblGrid>
      <w:tr w:rsidR="001C276C" w:rsidTr="00F22762">
        <w:tc>
          <w:tcPr>
            <w:tcW w:w="3246" w:type="dxa"/>
            <w:gridSpan w:val="2"/>
          </w:tcPr>
          <w:p w:rsidR="001C276C" w:rsidRDefault="00F3524A">
            <w:pPr>
              <w:suppressLineNumbers/>
              <w:rPr>
                <w:rFonts w:ascii="David" w:eastAsia="David" w:hAnsi="David"/>
                <w:b/>
                <w:bCs/>
              </w:rPr>
            </w:pPr>
          </w:p>
          <w:p w:rsidR="001C276C" w:rsidRDefault="002F5226">
            <w:pPr>
              <w:suppressLineNumbers/>
              <w:rPr>
                <w:rFonts w:ascii="David" w:eastAsia="David" w:hAnsi="David"/>
                <w:b/>
                <w:bCs/>
                <w:u w:val="single"/>
                <w:rtl/>
              </w:rPr>
            </w:pPr>
            <w:r>
              <w:rPr>
                <w:rFonts w:ascii="David" w:eastAsia="David" w:hAnsi="David" w:hint="cs"/>
                <w:b/>
                <w:bCs/>
                <w:u w:val="single"/>
                <w:rtl/>
              </w:rPr>
              <w:t>ה</w:t>
            </w:r>
            <w:sdt>
              <w:sdtPr>
                <w:rPr>
                  <w:b/>
                  <w:bCs/>
                  <w:u w:val="single"/>
                  <w:rtl/>
                </w:rPr>
                <w:alias w:val="1264"/>
                <w:tag w:val="1264"/>
                <w:id w:val="748628538"/>
                <w:placeholder>
                  <w:docPart w:val="B200D6D500054A5CB90EFA140DE863EC"/>
                </w:placeholder>
                <w:text w:multiLine="1"/>
              </w:sdtPr>
              <w:sdtEndPr/>
              <w:sdtContent>
                <w:r>
                  <w:rPr>
                    <w:rFonts w:ascii="David" w:eastAsia="David" w:hAnsi="David"/>
                    <w:b/>
                    <w:bCs/>
                    <w:u w:val="single"/>
                    <w:rtl/>
                  </w:rPr>
                  <w:t>מערער בעמ"ש 51377-12-23</w:t>
                </w:r>
                <w:r>
                  <w:rPr>
                    <w:b/>
                    <w:bCs/>
                    <w:u w:val="single"/>
                    <w:rtl/>
                  </w:rPr>
                  <w:t xml:space="preserve"> </w:t>
                </w:r>
              </w:sdtContent>
            </w:sdt>
          </w:p>
        </w:tc>
        <w:tc>
          <w:tcPr>
            <w:tcW w:w="5734" w:type="dxa"/>
            <w:gridSpan w:val="2"/>
          </w:tcPr>
          <w:p w:rsidR="001C276C" w:rsidRDefault="00F3524A">
            <w:pPr>
              <w:suppressLineNumbers/>
              <w:rPr>
                <w:rFonts w:ascii="David" w:eastAsia="David" w:hAnsi="David"/>
                <w:b/>
                <w:bCs/>
                <w:rtl/>
              </w:rPr>
            </w:pPr>
          </w:p>
          <w:p w:rsidR="001C276C" w:rsidRDefault="00A66CB9" w:rsidP="00A66CB9">
            <w:pPr>
              <w:suppressLineNumbers/>
              <w:spacing w:line="360" w:lineRule="auto"/>
              <w:rPr>
                <w:rFonts w:ascii="David" w:eastAsia="David" w:hAnsi="David"/>
                <w:b/>
                <w:bCs/>
                <w:rtl/>
              </w:rPr>
            </w:pPr>
            <w:r>
              <w:rPr>
                <w:rFonts w:ascii="David" w:eastAsia="David" w:hAnsi="David" w:hint="cs"/>
                <w:b/>
                <w:bCs/>
                <w:rtl/>
              </w:rPr>
              <w:t>מ. ע</w:t>
            </w:r>
          </w:p>
          <w:p w:rsidR="001C276C" w:rsidRPr="00F22762" w:rsidRDefault="00FB2667" w:rsidP="00F22762">
            <w:pPr>
              <w:suppressLineNumbers/>
              <w:rPr>
                <w:rFonts w:ascii="David" w:eastAsia="David" w:hAnsi="David"/>
                <w:b/>
                <w:bCs/>
                <w:rtl/>
              </w:rPr>
            </w:pPr>
            <w:r>
              <w:rPr>
                <w:rFonts w:ascii="David" w:eastAsia="David" w:hAnsi="David" w:hint="cs"/>
                <w:b/>
                <w:bCs/>
                <w:rtl/>
              </w:rPr>
              <w:t>ע"י ב"כ עו"ד ויטולד איראני</w:t>
            </w:r>
          </w:p>
        </w:tc>
      </w:tr>
      <w:tr w:rsidR="001C276C" w:rsidTr="00F22762">
        <w:tc>
          <w:tcPr>
            <w:tcW w:w="8980" w:type="dxa"/>
            <w:gridSpan w:val="4"/>
          </w:tcPr>
          <w:p w:rsidR="001C276C" w:rsidRDefault="00F3524A">
            <w:pPr>
              <w:suppressLineNumbers/>
              <w:rPr>
                <w:rFonts w:ascii="David" w:eastAsia="David" w:hAnsi="David"/>
                <w:b/>
                <w:bCs/>
              </w:rPr>
            </w:pPr>
          </w:p>
          <w:p w:rsidR="00457B60" w:rsidRDefault="002F5226" w:rsidP="00F22762">
            <w:pPr>
              <w:suppressLineNumbers/>
              <w:jc w:val="center"/>
              <w:rPr>
                <w:rFonts w:ascii="David" w:eastAsia="David" w:hAnsi="David"/>
                <w:b/>
                <w:bCs/>
                <w:rtl/>
              </w:rPr>
            </w:pPr>
            <w:r>
              <w:rPr>
                <w:rFonts w:ascii="David" w:eastAsia="David" w:hAnsi="David" w:hint="cs"/>
                <w:b/>
                <w:bCs/>
                <w:rtl/>
              </w:rPr>
              <w:t>נגד</w:t>
            </w:r>
          </w:p>
          <w:p w:rsidR="001C276C" w:rsidRDefault="00F3524A">
            <w:pPr>
              <w:suppressLineNumbers/>
              <w:rPr>
                <w:rFonts w:ascii="David" w:eastAsia="David" w:hAnsi="David"/>
                <w:b/>
                <w:bCs/>
                <w:rtl/>
              </w:rPr>
            </w:pPr>
          </w:p>
        </w:tc>
      </w:tr>
      <w:tr w:rsidR="001C276C" w:rsidTr="00F22762">
        <w:trPr>
          <w:trHeight w:val="2746"/>
        </w:trPr>
        <w:tc>
          <w:tcPr>
            <w:tcW w:w="3246" w:type="dxa"/>
            <w:gridSpan w:val="2"/>
            <w:hideMark/>
          </w:tcPr>
          <w:p w:rsidR="001C276C" w:rsidRDefault="002F5226">
            <w:pPr>
              <w:suppressLineNumbers/>
              <w:rPr>
                <w:rFonts w:ascii="David" w:eastAsia="David" w:hAnsi="David"/>
                <w:b/>
                <w:bCs/>
                <w:u w:val="single"/>
                <w:rtl/>
              </w:rPr>
            </w:pPr>
            <w:r>
              <w:rPr>
                <w:rFonts w:ascii="David" w:eastAsia="David" w:hAnsi="David" w:hint="cs"/>
                <w:b/>
                <w:bCs/>
                <w:u w:val="single"/>
                <w:rtl/>
              </w:rPr>
              <w:t>ה</w:t>
            </w:r>
            <w:sdt>
              <w:sdtPr>
                <w:rPr>
                  <w:b/>
                  <w:bCs/>
                  <w:u w:val="single"/>
                  <w:rtl/>
                </w:rPr>
                <w:alias w:val="1265"/>
                <w:tag w:val="1265"/>
                <w:id w:val="15438151"/>
                <w:text/>
              </w:sdtPr>
              <w:sdtEndPr/>
              <w:sdtContent>
                <w:r>
                  <w:rPr>
                    <w:rFonts w:ascii="David" w:eastAsia="David" w:hAnsi="David"/>
                    <w:b/>
                    <w:bCs/>
                    <w:u w:val="single"/>
                    <w:rtl/>
                  </w:rPr>
                  <w:t>משיבים בעמ"ש 51377-12-23</w:t>
                </w:r>
              </w:sdtContent>
            </w:sdt>
          </w:p>
        </w:tc>
        <w:tc>
          <w:tcPr>
            <w:tcW w:w="5734" w:type="dxa"/>
            <w:gridSpan w:val="2"/>
            <w:hideMark/>
          </w:tcPr>
          <w:p w:rsidR="001C276C" w:rsidRDefault="00F3524A" w:rsidP="00A66CB9">
            <w:pPr>
              <w:suppressLineNumbers/>
              <w:rPr>
                <w:b/>
                <w:bCs/>
                <w:rtl/>
              </w:rPr>
            </w:pPr>
            <w:sdt>
              <w:sdtPr>
                <w:rPr>
                  <w:b/>
                  <w:bCs/>
                  <w:rtl/>
                </w:rPr>
                <w:alias w:val="829"/>
                <w:tag w:val="829"/>
                <w:id w:val="-731926407"/>
                <w:placeholder>
                  <w:docPart w:val="3F561D4BFFDF471193FC7A9EF7D9EF08"/>
                </w:placeholder>
                <w:text w:multiLine="1"/>
              </w:sdtPr>
              <w:sdtEndPr/>
              <w:sdtContent>
                <w:r w:rsidR="002F5226">
                  <w:rPr>
                    <w:rFonts w:ascii="David" w:eastAsia="David" w:hAnsi="David"/>
                    <w:b/>
                    <w:bCs/>
                  </w:rPr>
                  <w:t>.1</w:t>
                </w:r>
              </w:sdtContent>
            </w:sdt>
            <w:r w:rsidR="002F5226">
              <w:rPr>
                <w:rFonts w:hint="cs"/>
                <w:b/>
                <w:bCs/>
                <w:rtl/>
              </w:rPr>
              <w:t xml:space="preserve"> </w:t>
            </w:r>
            <w:sdt>
              <w:sdtPr>
                <w:rPr>
                  <w:b/>
                  <w:bCs/>
                  <w:rtl/>
                </w:rPr>
                <w:alias w:val="1266"/>
                <w:tag w:val="1266"/>
                <w:id w:val="1865085449"/>
                <w:placeholder>
                  <w:docPart w:val="6B01D334376C447FA369AC374BEBD3EE"/>
                </w:placeholder>
                <w:text w:multiLine="1"/>
              </w:sdtPr>
              <w:sdtEndPr/>
              <w:sdtContent>
                <w:r w:rsidR="00A66CB9">
                  <w:rPr>
                    <w:b/>
                    <w:bCs/>
                    <w:rtl/>
                  </w:rPr>
                  <w:t>עזבון המנוח מ</w:t>
                </w:r>
                <w:r w:rsidR="00A66CB9">
                  <w:rPr>
                    <w:rFonts w:hint="cs"/>
                    <w:b/>
                    <w:bCs/>
                    <w:rtl/>
                  </w:rPr>
                  <w:t>.</w:t>
                </w:r>
                <w:r w:rsidR="00A66CB9">
                  <w:rPr>
                    <w:b/>
                    <w:bCs/>
                    <w:rtl/>
                  </w:rPr>
                  <w:t xml:space="preserve"> ע</w:t>
                </w:r>
                <w:r w:rsidR="00A66CB9">
                  <w:rPr>
                    <w:rFonts w:hint="cs"/>
                    <w:b/>
                    <w:bCs/>
                    <w:rtl/>
                  </w:rPr>
                  <w:t xml:space="preserve"> ז"ל</w:t>
                </w:r>
              </w:sdtContent>
            </w:sdt>
            <w:r w:rsidR="002F5226">
              <w:rPr>
                <w:rFonts w:hint="cs"/>
                <w:b/>
                <w:bCs/>
                <w:rtl/>
              </w:rPr>
              <w:t xml:space="preserve">   </w:t>
            </w:r>
          </w:p>
          <w:p w:rsidR="001C276C" w:rsidRDefault="002F5226">
            <w:pPr>
              <w:suppressLineNumbers/>
              <w:spacing w:line="360" w:lineRule="auto"/>
              <w:rPr>
                <w:rFonts w:ascii="David" w:hAnsi="David"/>
                <w:b/>
                <w:bCs/>
                <w:rtl/>
              </w:rPr>
            </w:pPr>
            <w:r>
              <w:rPr>
                <w:b/>
                <w:bCs/>
                <w:rtl/>
              </w:rPr>
              <w:t xml:space="preserve">    </w:t>
            </w:r>
            <w:r>
              <w:rPr>
                <w:rFonts w:ascii="David" w:hAnsi="David" w:hint="cs"/>
                <w:b/>
                <w:bCs/>
                <w:u w:val="single"/>
                <w:rtl/>
              </w:rPr>
              <w:t xml:space="preserve">באמצעות יורשיו המשיבים 2 ו- 3 </w:t>
            </w:r>
            <w:r>
              <w:rPr>
                <w:rFonts w:ascii="David" w:hAnsi="David" w:hint="cs"/>
                <w:b/>
                <w:bCs/>
                <w:rtl/>
              </w:rPr>
              <w:t>:</w:t>
            </w:r>
          </w:p>
          <w:p w:rsidR="00F22762" w:rsidRDefault="00A66CB9" w:rsidP="00A66CB9">
            <w:pPr>
              <w:suppressLineNumbers/>
              <w:spacing w:line="360" w:lineRule="auto"/>
              <w:rPr>
                <w:rFonts w:ascii="David" w:hAnsi="David"/>
                <w:b/>
                <w:bCs/>
                <w:rtl/>
              </w:rPr>
            </w:pPr>
            <w:r>
              <w:rPr>
                <w:rFonts w:ascii="David" w:hAnsi="David" w:hint="cs"/>
                <w:b/>
                <w:bCs/>
                <w:rtl/>
              </w:rPr>
              <w:t>2. ו. ע</w:t>
            </w:r>
          </w:p>
          <w:p w:rsidR="00F22762" w:rsidRDefault="00F22762" w:rsidP="00F22762">
            <w:pPr>
              <w:suppressLineNumbers/>
              <w:spacing w:line="360" w:lineRule="auto"/>
              <w:rPr>
                <w:rFonts w:ascii="David" w:hAnsi="David"/>
                <w:b/>
                <w:bCs/>
                <w:rtl/>
              </w:rPr>
            </w:pPr>
            <w:r>
              <w:rPr>
                <w:rFonts w:ascii="David" w:hAnsi="David" w:hint="cs"/>
                <w:b/>
                <w:bCs/>
                <w:rtl/>
              </w:rPr>
              <w:t>ע"י ב"כ עו"ד אלפרד סאדר</w:t>
            </w:r>
          </w:p>
          <w:p w:rsidR="001C276C" w:rsidRDefault="002F5226" w:rsidP="00A66CB9">
            <w:pPr>
              <w:suppressLineNumbers/>
              <w:rPr>
                <w:rFonts w:ascii="David" w:hAnsi="David"/>
                <w:b/>
                <w:bCs/>
                <w:rtl/>
              </w:rPr>
            </w:pPr>
            <w:r>
              <w:rPr>
                <w:b/>
                <w:bCs/>
                <w:rtl/>
              </w:rPr>
              <w:t>3</w:t>
            </w:r>
            <w:r w:rsidR="00A66CB9">
              <w:rPr>
                <w:rFonts w:ascii="David" w:hAnsi="David" w:hint="cs"/>
                <w:b/>
                <w:bCs/>
                <w:rtl/>
              </w:rPr>
              <w:t>. עזבון המנוח ס. ע ז"ל</w:t>
            </w:r>
          </w:p>
          <w:p w:rsidR="001C276C" w:rsidRDefault="002F5226">
            <w:pPr>
              <w:suppressLineNumbers/>
              <w:spacing w:line="360" w:lineRule="auto"/>
              <w:rPr>
                <w:rFonts w:ascii="David" w:hAnsi="David"/>
                <w:b/>
                <w:bCs/>
                <w:u w:val="single"/>
                <w:rtl/>
              </w:rPr>
            </w:pPr>
            <w:r>
              <w:rPr>
                <w:b/>
                <w:bCs/>
                <w:rtl/>
              </w:rPr>
              <w:t xml:space="preserve">    </w:t>
            </w:r>
            <w:r>
              <w:rPr>
                <w:rFonts w:ascii="David" w:hAnsi="David" w:hint="cs"/>
                <w:b/>
                <w:bCs/>
                <w:u w:val="single"/>
                <w:rtl/>
              </w:rPr>
              <w:t>באמצעות יורשיו המשיבים:</w:t>
            </w:r>
          </w:p>
          <w:p w:rsidR="001C276C" w:rsidRDefault="002F5226" w:rsidP="00A66CB9">
            <w:pPr>
              <w:suppressLineNumbers/>
              <w:rPr>
                <w:rFonts w:ascii="David" w:hAnsi="David"/>
                <w:b/>
                <w:bCs/>
                <w:rtl/>
              </w:rPr>
            </w:pPr>
            <w:r>
              <w:rPr>
                <w:rFonts w:ascii="David" w:hAnsi="David" w:hint="cs"/>
                <w:b/>
                <w:bCs/>
                <w:rtl/>
              </w:rPr>
              <w:t xml:space="preserve">    3.1 </w:t>
            </w:r>
            <w:r w:rsidR="00A66CB9">
              <w:rPr>
                <w:rFonts w:ascii="David" w:hAnsi="David" w:hint="cs"/>
                <w:b/>
                <w:bCs/>
                <w:rtl/>
              </w:rPr>
              <w:t>ע. ע</w:t>
            </w:r>
          </w:p>
          <w:p w:rsidR="001C276C" w:rsidRDefault="002F5226" w:rsidP="00A66CB9">
            <w:pPr>
              <w:suppressLineNumbers/>
              <w:rPr>
                <w:rFonts w:ascii="David" w:hAnsi="David"/>
                <w:b/>
                <w:bCs/>
                <w:rtl/>
              </w:rPr>
            </w:pPr>
            <w:r>
              <w:rPr>
                <w:rFonts w:ascii="David" w:hAnsi="David" w:hint="cs"/>
                <w:b/>
                <w:bCs/>
                <w:rtl/>
              </w:rPr>
              <w:t xml:space="preserve">    3.2 </w:t>
            </w:r>
            <w:r w:rsidR="00A66CB9">
              <w:rPr>
                <w:rFonts w:ascii="David" w:hAnsi="David" w:hint="cs"/>
                <w:b/>
                <w:bCs/>
                <w:rtl/>
              </w:rPr>
              <w:t>ע. ע</w:t>
            </w:r>
          </w:p>
          <w:p w:rsidR="001C276C" w:rsidRDefault="002F5226" w:rsidP="00A66CB9">
            <w:pPr>
              <w:suppressLineNumbers/>
              <w:rPr>
                <w:rFonts w:ascii="David" w:hAnsi="David"/>
                <w:b/>
                <w:bCs/>
                <w:rtl/>
              </w:rPr>
            </w:pPr>
            <w:r>
              <w:rPr>
                <w:rFonts w:ascii="David" w:hAnsi="David" w:hint="cs"/>
                <w:b/>
                <w:bCs/>
                <w:rtl/>
              </w:rPr>
              <w:t xml:space="preserve">    3.3 </w:t>
            </w:r>
            <w:r w:rsidR="00A66CB9">
              <w:rPr>
                <w:rFonts w:ascii="David" w:hAnsi="David" w:hint="cs"/>
                <w:b/>
                <w:bCs/>
                <w:rtl/>
              </w:rPr>
              <w:t>נ. ח'</w:t>
            </w:r>
          </w:p>
          <w:p w:rsidR="001C276C" w:rsidRDefault="002F5226" w:rsidP="00A66CB9">
            <w:pPr>
              <w:suppressLineNumbers/>
              <w:rPr>
                <w:rFonts w:ascii="David" w:hAnsi="David"/>
                <w:b/>
                <w:bCs/>
                <w:rtl/>
              </w:rPr>
            </w:pPr>
            <w:r>
              <w:rPr>
                <w:rFonts w:ascii="David" w:hAnsi="David" w:hint="cs"/>
                <w:b/>
                <w:bCs/>
                <w:rtl/>
              </w:rPr>
              <w:t xml:space="preserve">    3.4 </w:t>
            </w:r>
            <w:r w:rsidR="00A66CB9">
              <w:rPr>
                <w:rFonts w:ascii="David" w:hAnsi="David" w:hint="cs"/>
                <w:b/>
                <w:bCs/>
                <w:rtl/>
              </w:rPr>
              <w:t>ר. ע</w:t>
            </w:r>
          </w:p>
          <w:p w:rsidR="001C276C" w:rsidRDefault="002F5226" w:rsidP="00A66CB9">
            <w:pPr>
              <w:suppressLineNumbers/>
              <w:spacing w:after="120"/>
              <w:rPr>
                <w:rFonts w:ascii="David" w:hAnsi="David"/>
                <w:b/>
                <w:bCs/>
                <w:rtl/>
              </w:rPr>
            </w:pPr>
            <w:r>
              <w:rPr>
                <w:rFonts w:ascii="David" w:hAnsi="David" w:hint="cs"/>
                <w:b/>
                <w:bCs/>
                <w:rtl/>
              </w:rPr>
              <w:t xml:space="preserve">    3.5 </w:t>
            </w:r>
            <w:r w:rsidR="00A66CB9">
              <w:rPr>
                <w:rFonts w:ascii="David" w:hAnsi="David" w:hint="cs"/>
                <w:b/>
                <w:bCs/>
                <w:rtl/>
              </w:rPr>
              <w:t>ב.ז</w:t>
            </w:r>
          </w:p>
          <w:p w:rsidR="00FB2667" w:rsidRDefault="00FB2667">
            <w:pPr>
              <w:suppressLineNumbers/>
              <w:rPr>
                <w:rFonts w:ascii="David" w:eastAsia="David" w:hAnsi="David"/>
                <w:b/>
                <w:bCs/>
                <w:rtl/>
              </w:rPr>
            </w:pPr>
            <w:r>
              <w:rPr>
                <w:rFonts w:ascii="David" w:eastAsia="David" w:hAnsi="David" w:hint="cs"/>
                <w:b/>
                <w:bCs/>
                <w:rtl/>
              </w:rPr>
              <w:t xml:space="preserve">   </w:t>
            </w:r>
            <w:r w:rsidR="00F06AB2">
              <w:rPr>
                <w:rFonts w:ascii="David" w:eastAsia="David" w:hAnsi="David" w:hint="cs"/>
                <w:b/>
                <w:bCs/>
                <w:rtl/>
              </w:rPr>
              <w:t xml:space="preserve"> ע"י ב"כ עו"ד עימאד ח'מאיסי</w:t>
            </w:r>
          </w:p>
        </w:tc>
      </w:tr>
      <w:tr w:rsidR="001C276C" w:rsidTr="00F22762">
        <w:trPr>
          <w:trHeight w:val="460"/>
        </w:trPr>
        <w:tc>
          <w:tcPr>
            <w:tcW w:w="8980" w:type="dxa"/>
            <w:gridSpan w:val="4"/>
          </w:tcPr>
          <w:p w:rsidR="001C276C" w:rsidRDefault="00F3524A">
            <w:pPr>
              <w:suppressLineNumbers/>
              <w:jc w:val="center"/>
              <w:rPr>
                <w:rFonts w:ascii="David" w:eastAsia="David" w:hAnsi="David"/>
                <w:b/>
                <w:bCs/>
                <w:rtl/>
              </w:rPr>
            </w:pPr>
          </w:p>
        </w:tc>
      </w:tr>
      <w:tr w:rsidR="001C276C" w:rsidTr="00F22762">
        <w:trPr>
          <w:trHeight w:val="2202"/>
        </w:trPr>
        <w:tc>
          <w:tcPr>
            <w:tcW w:w="3246" w:type="dxa"/>
            <w:gridSpan w:val="2"/>
            <w:hideMark/>
          </w:tcPr>
          <w:p w:rsidR="001C276C" w:rsidRDefault="002F5226" w:rsidP="00F22762">
            <w:pPr>
              <w:suppressLineNumbers/>
              <w:rPr>
                <w:rFonts w:ascii="David" w:eastAsia="David" w:hAnsi="David"/>
                <w:b/>
                <w:bCs/>
                <w:rtl/>
              </w:rPr>
            </w:pPr>
            <w:r>
              <w:rPr>
                <w:rFonts w:ascii="David" w:eastAsia="David" w:hAnsi="David" w:hint="cs"/>
                <w:b/>
                <w:bCs/>
                <w:u w:val="single"/>
                <w:rtl/>
              </w:rPr>
              <w:t>ה</w:t>
            </w:r>
            <w:sdt>
              <w:sdtPr>
                <w:rPr>
                  <w:b/>
                  <w:bCs/>
                  <w:u w:val="single"/>
                  <w:rtl/>
                </w:rPr>
                <w:alias w:val="1264"/>
                <w:tag w:val="1264"/>
                <w:id w:val="-1550903450"/>
                <w:placeholder>
                  <w:docPart w:val="352DC6690A944068AB6F841458EBF1AC"/>
                </w:placeholder>
                <w:text w:multiLine="1"/>
              </w:sdtPr>
              <w:sdtEndPr/>
              <w:sdtContent>
                <w:r>
                  <w:rPr>
                    <w:rFonts w:ascii="David" w:eastAsia="David" w:hAnsi="David"/>
                    <w:b/>
                    <w:bCs/>
                    <w:u w:val="single"/>
                    <w:rtl/>
                  </w:rPr>
                  <w:t>מערערים בעמ"ש 53261-12-23</w:t>
                </w:r>
                <w:r>
                  <w:rPr>
                    <w:b/>
                    <w:bCs/>
                    <w:u w:val="single"/>
                    <w:rtl/>
                  </w:rPr>
                  <w:t xml:space="preserve"> </w:t>
                </w:r>
              </w:sdtContent>
            </w:sdt>
          </w:p>
        </w:tc>
        <w:tc>
          <w:tcPr>
            <w:tcW w:w="5734" w:type="dxa"/>
            <w:gridSpan w:val="2"/>
          </w:tcPr>
          <w:p w:rsidR="001C276C" w:rsidRDefault="00A66CB9" w:rsidP="00A66CB9">
            <w:pPr>
              <w:suppressLineNumbers/>
              <w:rPr>
                <w:rFonts w:ascii="David" w:eastAsia="David" w:hAnsi="David"/>
                <w:b/>
                <w:bCs/>
                <w:rtl/>
              </w:rPr>
            </w:pPr>
            <w:r>
              <w:rPr>
                <w:rFonts w:ascii="David" w:eastAsia="David" w:hAnsi="David" w:hint="cs"/>
                <w:b/>
                <w:bCs/>
                <w:rtl/>
              </w:rPr>
              <w:t>1. עזבון המנוח ס. ע</w:t>
            </w:r>
          </w:p>
          <w:p w:rsidR="001C276C" w:rsidRDefault="002F5226">
            <w:pPr>
              <w:suppressLineNumbers/>
              <w:spacing w:line="360" w:lineRule="auto"/>
              <w:rPr>
                <w:rFonts w:ascii="David" w:eastAsia="David" w:hAnsi="David"/>
                <w:b/>
                <w:bCs/>
                <w:u w:val="single"/>
                <w:rtl/>
              </w:rPr>
            </w:pPr>
            <w:r>
              <w:rPr>
                <w:rFonts w:ascii="David" w:eastAsia="David" w:hAnsi="David" w:hint="cs"/>
                <w:b/>
                <w:bCs/>
                <w:rtl/>
              </w:rPr>
              <w:t xml:space="preserve">    </w:t>
            </w:r>
            <w:r>
              <w:rPr>
                <w:rFonts w:ascii="David" w:eastAsia="David" w:hAnsi="David" w:hint="cs"/>
                <w:b/>
                <w:bCs/>
                <w:u w:val="single"/>
                <w:rtl/>
              </w:rPr>
              <w:t>באמצעות יורשיו:</w:t>
            </w:r>
          </w:p>
          <w:p w:rsidR="001C276C" w:rsidRDefault="002F5226" w:rsidP="00A66CB9">
            <w:pPr>
              <w:suppressLineNumbers/>
              <w:rPr>
                <w:rFonts w:ascii="David" w:eastAsia="David" w:hAnsi="David"/>
                <w:b/>
                <w:bCs/>
                <w:rtl/>
              </w:rPr>
            </w:pPr>
            <w:r>
              <w:rPr>
                <w:rFonts w:ascii="David" w:eastAsia="David" w:hAnsi="David" w:hint="cs"/>
                <w:b/>
                <w:bCs/>
                <w:rtl/>
              </w:rPr>
              <w:t xml:space="preserve">    1.1 </w:t>
            </w:r>
            <w:r w:rsidR="00A66CB9">
              <w:rPr>
                <w:rFonts w:ascii="David" w:eastAsia="David" w:hAnsi="David" w:hint="cs"/>
                <w:b/>
                <w:bCs/>
                <w:rtl/>
              </w:rPr>
              <w:t>ע. ע</w:t>
            </w:r>
          </w:p>
          <w:p w:rsidR="001C276C" w:rsidRDefault="002F5226" w:rsidP="00A66CB9">
            <w:pPr>
              <w:suppressLineNumbers/>
              <w:rPr>
                <w:rFonts w:ascii="David" w:eastAsia="David" w:hAnsi="David"/>
                <w:b/>
                <w:bCs/>
                <w:rtl/>
              </w:rPr>
            </w:pPr>
            <w:r>
              <w:rPr>
                <w:rFonts w:ascii="David" w:eastAsia="David" w:hAnsi="David" w:hint="cs"/>
                <w:b/>
                <w:bCs/>
                <w:rtl/>
              </w:rPr>
              <w:t xml:space="preserve">    1.2 </w:t>
            </w:r>
            <w:r w:rsidR="00A66CB9">
              <w:rPr>
                <w:rFonts w:ascii="David" w:eastAsia="David" w:hAnsi="David" w:hint="cs"/>
                <w:b/>
                <w:bCs/>
                <w:rtl/>
              </w:rPr>
              <w:t>ע. ע</w:t>
            </w:r>
          </w:p>
          <w:p w:rsidR="001C276C" w:rsidRDefault="002F5226" w:rsidP="00A66CB9">
            <w:pPr>
              <w:suppressLineNumbers/>
              <w:rPr>
                <w:rFonts w:ascii="David" w:eastAsia="David" w:hAnsi="David"/>
                <w:b/>
                <w:bCs/>
                <w:rtl/>
              </w:rPr>
            </w:pPr>
            <w:r>
              <w:rPr>
                <w:rFonts w:ascii="David" w:eastAsia="David" w:hAnsi="David" w:hint="cs"/>
                <w:b/>
                <w:bCs/>
                <w:rtl/>
              </w:rPr>
              <w:t xml:space="preserve">    1.3 </w:t>
            </w:r>
            <w:r w:rsidR="00A66CB9">
              <w:rPr>
                <w:rFonts w:ascii="David" w:eastAsia="David" w:hAnsi="David" w:hint="cs"/>
                <w:b/>
                <w:bCs/>
                <w:rtl/>
              </w:rPr>
              <w:t>נ. ח'</w:t>
            </w:r>
          </w:p>
          <w:p w:rsidR="001C276C" w:rsidRDefault="002F5226" w:rsidP="00A66CB9">
            <w:pPr>
              <w:suppressLineNumbers/>
              <w:rPr>
                <w:rFonts w:ascii="David" w:eastAsia="David" w:hAnsi="David"/>
                <w:b/>
                <w:bCs/>
                <w:rtl/>
              </w:rPr>
            </w:pPr>
            <w:r>
              <w:rPr>
                <w:rFonts w:ascii="David" w:eastAsia="David" w:hAnsi="David" w:hint="cs"/>
                <w:b/>
                <w:bCs/>
                <w:rtl/>
              </w:rPr>
              <w:t xml:space="preserve">    1.4 </w:t>
            </w:r>
            <w:r w:rsidR="00A66CB9">
              <w:rPr>
                <w:rFonts w:ascii="David" w:eastAsia="David" w:hAnsi="David" w:hint="cs"/>
                <w:b/>
                <w:bCs/>
                <w:rtl/>
              </w:rPr>
              <w:t>ר. ע</w:t>
            </w:r>
          </w:p>
          <w:p w:rsidR="001C276C" w:rsidRDefault="002F5226" w:rsidP="00A66CB9">
            <w:pPr>
              <w:suppressLineNumbers/>
              <w:spacing w:line="360" w:lineRule="auto"/>
              <w:rPr>
                <w:rFonts w:ascii="David" w:eastAsia="David" w:hAnsi="David"/>
                <w:b/>
                <w:bCs/>
                <w:rtl/>
              </w:rPr>
            </w:pPr>
            <w:r>
              <w:rPr>
                <w:rFonts w:ascii="David" w:eastAsia="David" w:hAnsi="David" w:hint="cs"/>
                <w:b/>
                <w:bCs/>
                <w:rtl/>
              </w:rPr>
              <w:t xml:space="preserve">    </w:t>
            </w:r>
            <w:r w:rsidR="00A66CB9">
              <w:rPr>
                <w:rFonts w:ascii="David" w:eastAsia="David" w:hAnsi="David" w:hint="cs"/>
                <w:b/>
                <w:bCs/>
                <w:rtl/>
              </w:rPr>
              <w:t>1.5 ב. ז</w:t>
            </w:r>
          </w:p>
          <w:p w:rsidR="00F06AB2" w:rsidRDefault="00F06AB2">
            <w:pPr>
              <w:suppressLineNumbers/>
              <w:rPr>
                <w:rFonts w:ascii="David" w:eastAsia="David" w:hAnsi="David"/>
                <w:b/>
                <w:bCs/>
                <w:rtl/>
              </w:rPr>
            </w:pPr>
            <w:r>
              <w:rPr>
                <w:rFonts w:ascii="David" w:eastAsia="David" w:hAnsi="David" w:hint="cs"/>
                <w:b/>
                <w:bCs/>
                <w:rtl/>
              </w:rPr>
              <w:t xml:space="preserve">    ע"י ב"כ עו"ד עימאד ח'מאיסי</w:t>
            </w:r>
          </w:p>
          <w:p w:rsidR="001C276C" w:rsidRDefault="00F3524A">
            <w:pPr>
              <w:suppressLineNumbers/>
              <w:rPr>
                <w:rtl/>
              </w:rPr>
            </w:pPr>
          </w:p>
        </w:tc>
      </w:tr>
      <w:tr w:rsidR="001C276C" w:rsidTr="00F22762">
        <w:trPr>
          <w:trHeight w:val="491"/>
        </w:trPr>
        <w:tc>
          <w:tcPr>
            <w:tcW w:w="8980" w:type="dxa"/>
            <w:gridSpan w:val="4"/>
          </w:tcPr>
          <w:p w:rsidR="001C276C" w:rsidRDefault="002F5226">
            <w:pPr>
              <w:suppressLineNumbers/>
              <w:jc w:val="center"/>
              <w:rPr>
                <w:rFonts w:ascii="David" w:eastAsia="David" w:hAnsi="David"/>
                <w:b/>
                <w:bCs/>
              </w:rPr>
            </w:pPr>
            <w:r>
              <w:rPr>
                <w:rFonts w:ascii="David" w:eastAsia="David" w:hAnsi="David" w:hint="cs"/>
                <w:b/>
                <w:bCs/>
                <w:rtl/>
              </w:rPr>
              <w:t>נגד</w:t>
            </w:r>
          </w:p>
          <w:p w:rsidR="001C276C" w:rsidRDefault="00F3524A">
            <w:pPr>
              <w:suppressLineNumbers/>
              <w:rPr>
                <w:rFonts w:ascii="David" w:eastAsia="David" w:hAnsi="David"/>
                <w:b/>
                <w:bCs/>
                <w:rtl/>
              </w:rPr>
            </w:pPr>
          </w:p>
        </w:tc>
      </w:tr>
      <w:tr w:rsidR="001C276C" w:rsidTr="00F22762">
        <w:trPr>
          <w:trHeight w:val="740"/>
        </w:trPr>
        <w:tc>
          <w:tcPr>
            <w:tcW w:w="3246" w:type="dxa"/>
            <w:gridSpan w:val="2"/>
            <w:hideMark/>
          </w:tcPr>
          <w:p w:rsidR="001C276C" w:rsidRPr="00457B60" w:rsidRDefault="002F5226">
            <w:pPr>
              <w:suppressLineNumbers/>
              <w:rPr>
                <w:rFonts w:ascii="David" w:eastAsia="David" w:hAnsi="David"/>
                <w:b/>
                <w:bCs/>
                <w:u w:val="single"/>
                <w:rtl/>
              </w:rPr>
            </w:pPr>
            <w:r w:rsidRPr="00457B60">
              <w:rPr>
                <w:rFonts w:ascii="David" w:eastAsia="David" w:hAnsi="David" w:hint="cs"/>
                <w:b/>
                <w:bCs/>
                <w:u w:val="single"/>
                <w:rtl/>
              </w:rPr>
              <w:t>ה</w:t>
            </w:r>
            <w:sdt>
              <w:sdtPr>
                <w:rPr>
                  <w:b/>
                  <w:bCs/>
                  <w:u w:val="single"/>
                  <w:rtl/>
                </w:rPr>
                <w:alias w:val="1265"/>
                <w:tag w:val="1265"/>
                <w:id w:val="-573051591"/>
                <w:text/>
              </w:sdtPr>
              <w:sdtEndPr/>
              <w:sdtContent>
                <w:r w:rsidRPr="00457B60">
                  <w:rPr>
                    <w:rFonts w:ascii="David" w:eastAsia="David" w:hAnsi="David"/>
                    <w:b/>
                    <w:bCs/>
                    <w:u w:val="single"/>
                    <w:rtl/>
                  </w:rPr>
                  <w:t>משיבים בעמ"ש 53261-12-23</w:t>
                </w:r>
              </w:sdtContent>
            </w:sdt>
          </w:p>
        </w:tc>
        <w:tc>
          <w:tcPr>
            <w:tcW w:w="5734" w:type="dxa"/>
            <w:gridSpan w:val="2"/>
            <w:hideMark/>
          </w:tcPr>
          <w:p w:rsidR="001C276C" w:rsidRDefault="00F3524A" w:rsidP="00A66CB9">
            <w:pPr>
              <w:suppressLineNumbers/>
              <w:rPr>
                <w:b/>
                <w:bCs/>
                <w:rtl/>
              </w:rPr>
            </w:pPr>
            <w:sdt>
              <w:sdtPr>
                <w:rPr>
                  <w:b/>
                  <w:bCs/>
                  <w:rtl/>
                </w:rPr>
                <w:alias w:val="829"/>
                <w:tag w:val="829"/>
                <w:id w:val="441587874"/>
                <w:placeholder>
                  <w:docPart w:val="3055F393202D4ECE94967F9D02BCD509"/>
                </w:placeholder>
                <w:text w:multiLine="1"/>
              </w:sdtPr>
              <w:sdtEndPr/>
              <w:sdtContent>
                <w:r w:rsidR="002F5226">
                  <w:rPr>
                    <w:rFonts w:ascii="David" w:eastAsia="David" w:hAnsi="David"/>
                    <w:b/>
                    <w:bCs/>
                  </w:rPr>
                  <w:t>.1</w:t>
                </w:r>
              </w:sdtContent>
            </w:sdt>
            <w:r w:rsidR="002F5226">
              <w:rPr>
                <w:rFonts w:hint="cs"/>
                <w:b/>
                <w:bCs/>
                <w:rtl/>
              </w:rPr>
              <w:t xml:space="preserve"> </w:t>
            </w:r>
            <w:sdt>
              <w:sdtPr>
                <w:rPr>
                  <w:b/>
                  <w:bCs/>
                  <w:rtl/>
                </w:rPr>
                <w:alias w:val="1266"/>
                <w:tag w:val="1266"/>
                <w:id w:val="1319997891"/>
                <w:placeholder>
                  <w:docPart w:val="C130C15993FE45CCA316CF10C8FF642D"/>
                </w:placeholder>
                <w:text w:multiLine="1"/>
              </w:sdtPr>
              <w:sdtEndPr/>
              <w:sdtContent>
                <w:r w:rsidR="00A66CB9">
                  <w:rPr>
                    <w:b/>
                    <w:bCs/>
                    <w:rtl/>
                  </w:rPr>
                  <w:t>עזבון המנוח מ</w:t>
                </w:r>
                <w:r w:rsidR="00A66CB9">
                  <w:rPr>
                    <w:rFonts w:hint="cs"/>
                    <w:b/>
                    <w:bCs/>
                    <w:rtl/>
                  </w:rPr>
                  <w:t>. ע ז"ל</w:t>
                </w:r>
              </w:sdtContent>
            </w:sdt>
            <w:r w:rsidR="002F5226">
              <w:rPr>
                <w:rFonts w:hint="cs"/>
                <w:b/>
                <w:bCs/>
                <w:rtl/>
              </w:rPr>
              <w:t xml:space="preserve">  </w:t>
            </w:r>
          </w:p>
          <w:p w:rsidR="001C276C" w:rsidRDefault="002F5226">
            <w:pPr>
              <w:suppressLineNumbers/>
              <w:spacing w:line="360" w:lineRule="auto"/>
              <w:rPr>
                <w:rFonts w:ascii="David" w:hAnsi="David"/>
                <w:b/>
                <w:bCs/>
                <w:rtl/>
              </w:rPr>
            </w:pPr>
            <w:r>
              <w:rPr>
                <w:b/>
                <w:bCs/>
                <w:rtl/>
              </w:rPr>
              <w:t xml:space="preserve">    </w:t>
            </w:r>
            <w:r>
              <w:rPr>
                <w:rFonts w:ascii="David" w:hAnsi="David" w:hint="cs"/>
                <w:b/>
                <w:bCs/>
                <w:u w:val="single"/>
                <w:rtl/>
              </w:rPr>
              <w:t xml:space="preserve">באמצעות יורשיו המשיבים 2 ו- 3 </w:t>
            </w:r>
            <w:r>
              <w:rPr>
                <w:rFonts w:ascii="David" w:hAnsi="David" w:hint="cs"/>
                <w:b/>
                <w:bCs/>
                <w:rtl/>
              </w:rPr>
              <w:t>:</w:t>
            </w:r>
          </w:p>
          <w:p w:rsidR="00C95B56" w:rsidRDefault="002F5226" w:rsidP="00A66CB9">
            <w:pPr>
              <w:suppressLineNumbers/>
              <w:spacing w:line="360" w:lineRule="auto"/>
              <w:rPr>
                <w:rFonts w:ascii="David" w:hAnsi="David"/>
                <w:b/>
                <w:bCs/>
                <w:rtl/>
              </w:rPr>
            </w:pPr>
            <w:r>
              <w:rPr>
                <w:rFonts w:ascii="David" w:hAnsi="David" w:hint="cs"/>
                <w:b/>
                <w:bCs/>
                <w:rtl/>
              </w:rPr>
              <w:t xml:space="preserve">2. </w:t>
            </w:r>
            <w:r w:rsidR="00A66CB9">
              <w:rPr>
                <w:rFonts w:ascii="David" w:hAnsi="David" w:hint="cs"/>
                <w:b/>
                <w:bCs/>
                <w:rtl/>
              </w:rPr>
              <w:t>ו. ע</w:t>
            </w:r>
          </w:p>
          <w:p w:rsidR="00F06AB2" w:rsidRDefault="00F06AB2" w:rsidP="00C95B56">
            <w:pPr>
              <w:suppressLineNumbers/>
              <w:spacing w:line="360" w:lineRule="auto"/>
              <w:rPr>
                <w:rFonts w:ascii="David" w:hAnsi="David"/>
                <w:b/>
                <w:bCs/>
                <w:rtl/>
              </w:rPr>
            </w:pPr>
            <w:r>
              <w:rPr>
                <w:rFonts w:ascii="David" w:hAnsi="David" w:hint="cs"/>
                <w:b/>
                <w:bCs/>
                <w:rtl/>
              </w:rPr>
              <w:t xml:space="preserve">    ע"י ב"כ עו"ד אלפרד סאדר</w:t>
            </w:r>
          </w:p>
          <w:p w:rsidR="001C276C" w:rsidRDefault="002F5226" w:rsidP="00A66CB9">
            <w:pPr>
              <w:suppressLineNumbers/>
              <w:spacing w:line="360" w:lineRule="auto"/>
              <w:rPr>
                <w:rFonts w:ascii="David" w:hAnsi="David"/>
                <w:b/>
                <w:bCs/>
                <w:rtl/>
              </w:rPr>
            </w:pPr>
            <w:r>
              <w:rPr>
                <w:b/>
                <w:bCs/>
                <w:rtl/>
              </w:rPr>
              <w:t>3</w:t>
            </w:r>
            <w:r>
              <w:rPr>
                <w:rFonts w:ascii="David" w:hAnsi="David" w:hint="cs"/>
                <w:b/>
                <w:bCs/>
                <w:rtl/>
              </w:rPr>
              <w:t xml:space="preserve">. </w:t>
            </w:r>
            <w:r w:rsidR="00A66CB9">
              <w:rPr>
                <w:rFonts w:ascii="David" w:hAnsi="David" w:hint="cs"/>
                <w:b/>
                <w:bCs/>
                <w:rtl/>
              </w:rPr>
              <w:t>מ. ע</w:t>
            </w:r>
          </w:p>
          <w:p w:rsidR="00F06AB2" w:rsidRDefault="00F22762">
            <w:pPr>
              <w:suppressLineNumbers/>
              <w:rPr>
                <w:rFonts w:ascii="David" w:hAnsi="David"/>
                <w:b/>
                <w:bCs/>
                <w:rtl/>
              </w:rPr>
            </w:pPr>
            <w:r>
              <w:rPr>
                <w:rFonts w:ascii="David" w:hAnsi="David" w:hint="cs"/>
                <w:b/>
                <w:bCs/>
                <w:rtl/>
              </w:rPr>
              <w:t xml:space="preserve">    </w:t>
            </w:r>
            <w:r w:rsidR="00F06AB2">
              <w:rPr>
                <w:rFonts w:ascii="David" w:hAnsi="David" w:hint="cs"/>
                <w:b/>
                <w:bCs/>
                <w:rtl/>
              </w:rPr>
              <w:t>ע"י ב"כ עו"ד ויטולד איראני</w:t>
            </w:r>
          </w:p>
        </w:tc>
      </w:tr>
      <w:tr w:rsidR="00694556" w:rsidRPr="00DE1E7D" w:rsidTr="00F22762">
        <w:tblPrEx>
          <w:jc w:val="center"/>
          <w:tblInd w:w="0" w:type="dxa"/>
        </w:tblPrEx>
        <w:trPr>
          <w:gridBefore w:val="1"/>
          <w:gridAfter w:val="1"/>
          <w:wBefore w:w="34" w:type="dxa"/>
          <w:wAfter w:w="126" w:type="dxa"/>
          <w:jc w:val="center"/>
        </w:trPr>
        <w:tc>
          <w:tcPr>
            <w:tcW w:w="8820" w:type="dxa"/>
            <w:gridSpan w:val="2"/>
          </w:tcPr>
          <w:p w:rsidR="00694556" w:rsidRDefault="00457B60" w:rsidP="00457B60">
            <w:pPr>
              <w:bidi w:val="0"/>
              <w:spacing w:after="120"/>
              <w:jc w:val="center"/>
              <w:rPr>
                <w:rFonts w:ascii="Arial" w:hAnsi="Arial"/>
                <w:b/>
                <w:bCs/>
                <w:noProof w:val="0"/>
                <w:sz w:val="28"/>
                <w:szCs w:val="28"/>
                <w:u w:val="single"/>
                <w:rtl/>
              </w:rPr>
            </w:pPr>
            <w:r>
              <w:rPr>
                <w:rFonts w:ascii="Arial" w:hAnsi="Arial" w:hint="cs"/>
                <w:b/>
                <w:bCs/>
                <w:noProof w:val="0"/>
                <w:sz w:val="28"/>
                <w:szCs w:val="28"/>
                <w:u w:val="single"/>
                <w:rtl/>
              </w:rPr>
              <w:lastRenderedPageBreak/>
              <w:t>פ</w:t>
            </w:r>
            <w:r w:rsidR="003E38C7">
              <w:rPr>
                <w:rFonts w:ascii="Arial" w:hAnsi="Arial" w:hint="cs"/>
                <w:b/>
                <w:bCs/>
                <w:noProof w:val="0"/>
                <w:sz w:val="28"/>
                <w:szCs w:val="28"/>
                <w:u w:val="single"/>
                <w:rtl/>
              </w:rPr>
              <w:t>סק דין</w:t>
            </w:r>
          </w:p>
          <w:p w:rsidR="00D44968" w:rsidRPr="00D44968" w:rsidRDefault="00D44968" w:rsidP="00D44968">
            <w:pPr>
              <w:bidi w:val="0"/>
              <w:jc w:val="center"/>
              <w:rPr>
                <w:rFonts w:ascii="Arial" w:hAnsi="Arial"/>
                <w:b/>
                <w:bCs/>
                <w:noProof w:val="0"/>
                <w:sz w:val="28"/>
                <w:szCs w:val="28"/>
                <w:u w:val="single"/>
              </w:rPr>
            </w:pPr>
          </w:p>
        </w:tc>
      </w:tr>
    </w:tbl>
    <w:p w:rsidR="00457B60" w:rsidRDefault="00457B60" w:rsidP="00457B60">
      <w:pPr>
        <w:spacing w:after="120" w:line="360" w:lineRule="auto"/>
        <w:ind w:left="720" w:hanging="720"/>
        <w:jc w:val="both"/>
        <w:rPr>
          <w:rFonts w:ascii="David" w:hAnsi="David"/>
          <w:b/>
          <w:bCs/>
          <w:u w:val="single"/>
          <w:rtl/>
        </w:rPr>
      </w:pPr>
      <w:bookmarkStart w:id="0" w:name="NGCSBookmark"/>
      <w:bookmarkEnd w:id="0"/>
      <w:r>
        <w:rPr>
          <w:rFonts w:ascii="David" w:hAnsi="David"/>
          <w:b/>
          <w:bCs/>
          <w:u w:val="single"/>
          <w:rtl/>
        </w:rPr>
        <w:t>השופט חננאל שרעבי, אב"ד:</w:t>
      </w:r>
    </w:p>
    <w:p w:rsidR="00457B60" w:rsidRDefault="00457B60" w:rsidP="00457B60">
      <w:pPr>
        <w:spacing w:after="120" w:line="360" w:lineRule="auto"/>
        <w:ind w:left="720" w:hanging="720"/>
        <w:jc w:val="both"/>
        <w:rPr>
          <w:rFonts w:ascii="David" w:hAnsi="David"/>
          <w:rtl/>
        </w:rPr>
      </w:pPr>
      <w:r>
        <w:rPr>
          <w:rFonts w:ascii="David" w:hAnsi="David"/>
          <w:rtl/>
        </w:rPr>
        <w:t>1.</w:t>
      </w:r>
      <w:r>
        <w:rPr>
          <w:rFonts w:ascii="David" w:hAnsi="David"/>
          <w:rtl/>
        </w:rPr>
        <w:tab/>
        <w:t xml:space="preserve">עסקינן בשני ערעורים מאוחדים על פסק דינו של בית משפט לענייני משפחה בחיפה (כב' השופטת ענבל קרן), שניתן ביום 6.9.2023 בתיק ת"ע 26694-08-16 (להלן: </w:t>
      </w:r>
      <w:r>
        <w:rPr>
          <w:rFonts w:ascii="David" w:hAnsi="David"/>
          <w:b/>
          <w:bCs/>
          <w:rtl/>
        </w:rPr>
        <w:t>"פסק הדין"</w:t>
      </w:r>
      <w:r>
        <w:rPr>
          <w:rFonts w:ascii="David" w:hAnsi="David"/>
          <w:rtl/>
        </w:rPr>
        <w:t>), במסגרתו נדחתה בקשה לביטו</w:t>
      </w:r>
      <w:r w:rsidR="000F5BF7">
        <w:rPr>
          <w:rFonts w:ascii="David" w:hAnsi="David"/>
          <w:rtl/>
        </w:rPr>
        <w:t>ל צו קיום צוואת המנוח מ</w:t>
      </w:r>
      <w:r w:rsidR="000F5BF7">
        <w:rPr>
          <w:rFonts w:ascii="David" w:hAnsi="David" w:hint="cs"/>
          <w:rtl/>
        </w:rPr>
        <w:t>.</w:t>
      </w:r>
      <w:r w:rsidR="000F5BF7">
        <w:rPr>
          <w:rFonts w:ascii="David" w:hAnsi="David"/>
          <w:rtl/>
        </w:rPr>
        <w:t xml:space="preserve"> ע</w:t>
      </w:r>
      <w:r>
        <w:rPr>
          <w:rFonts w:ascii="David" w:hAnsi="David"/>
          <w:rtl/>
        </w:rPr>
        <w:t xml:space="preserve"> ז"ל (להלן: </w:t>
      </w:r>
      <w:r>
        <w:rPr>
          <w:rFonts w:ascii="David" w:hAnsi="David"/>
          <w:b/>
          <w:bCs/>
          <w:rtl/>
        </w:rPr>
        <w:t>"המנוח"</w:t>
      </w:r>
      <w:r>
        <w:rPr>
          <w:rFonts w:ascii="David" w:hAnsi="David"/>
          <w:rtl/>
        </w:rPr>
        <w:t xml:space="preserve">) מיום 23.8.1981 (להלן: </w:t>
      </w:r>
      <w:r>
        <w:rPr>
          <w:rFonts w:ascii="David" w:hAnsi="David"/>
          <w:b/>
          <w:bCs/>
          <w:rtl/>
        </w:rPr>
        <w:t xml:space="preserve">"הצוואה שבמחלוקת" </w:t>
      </w:r>
      <w:r>
        <w:rPr>
          <w:rFonts w:ascii="David" w:hAnsi="David"/>
          <w:rtl/>
        </w:rPr>
        <w:t xml:space="preserve">או </w:t>
      </w:r>
      <w:r>
        <w:rPr>
          <w:rFonts w:ascii="David" w:hAnsi="David"/>
          <w:b/>
          <w:bCs/>
          <w:rtl/>
        </w:rPr>
        <w:t>"הצוואה"</w:t>
      </w:r>
      <w:r>
        <w:rPr>
          <w:rFonts w:ascii="David" w:hAnsi="David"/>
          <w:rtl/>
        </w:rPr>
        <w:t>) שניתן ביום 15.11.2009.</w:t>
      </w:r>
    </w:p>
    <w:p w:rsidR="00457B60" w:rsidRDefault="00457B60" w:rsidP="00457B60">
      <w:pPr>
        <w:spacing w:after="120" w:line="360" w:lineRule="auto"/>
        <w:ind w:left="720" w:hanging="720"/>
        <w:jc w:val="both"/>
        <w:rPr>
          <w:rFonts w:ascii="David" w:hAnsi="David"/>
          <w:rtl/>
        </w:rPr>
      </w:pPr>
    </w:p>
    <w:p w:rsidR="00457B60" w:rsidRDefault="00457B60" w:rsidP="00457B60">
      <w:pPr>
        <w:spacing w:after="120" w:line="360" w:lineRule="auto"/>
        <w:ind w:left="720" w:hanging="720"/>
        <w:jc w:val="both"/>
        <w:rPr>
          <w:rFonts w:ascii="David" w:hAnsi="David"/>
          <w:u w:val="single"/>
          <w:rtl/>
        </w:rPr>
      </w:pPr>
      <w:r>
        <w:rPr>
          <w:rFonts w:ascii="David" w:hAnsi="David"/>
          <w:b/>
          <w:bCs/>
          <w:u w:val="single"/>
          <w:rtl/>
        </w:rPr>
        <w:t>רקע</w:t>
      </w:r>
      <w:r>
        <w:rPr>
          <w:rFonts w:ascii="David" w:hAnsi="David"/>
          <w:u w:val="single"/>
          <w:rtl/>
        </w:rPr>
        <w:t xml:space="preserve"> </w:t>
      </w:r>
      <w:r>
        <w:rPr>
          <w:rFonts w:ascii="David" w:hAnsi="David"/>
          <w:b/>
          <w:bCs/>
          <w:u w:val="single"/>
          <w:rtl/>
        </w:rPr>
        <w:t>בקצרה</w:t>
      </w:r>
    </w:p>
    <w:p w:rsidR="00457B60" w:rsidRDefault="00457B60" w:rsidP="00457B60">
      <w:pPr>
        <w:spacing w:after="120" w:line="360" w:lineRule="auto"/>
        <w:ind w:left="720" w:hanging="720"/>
        <w:jc w:val="both"/>
        <w:rPr>
          <w:rFonts w:ascii="David" w:hAnsi="David"/>
          <w:rtl/>
        </w:rPr>
      </w:pPr>
      <w:r>
        <w:rPr>
          <w:rFonts w:ascii="David" w:hAnsi="David"/>
          <w:rtl/>
        </w:rPr>
        <w:t>2.</w:t>
      </w:r>
      <w:r>
        <w:rPr>
          <w:rFonts w:ascii="David" w:hAnsi="David"/>
          <w:rtl/>
        </w:rPr>
        <w:tab/>
      </w:r>
      <w:r>
        <w:rPr>
          <w:rFonts w:ascii="David" w:hAnsi="David"/>
          <w:u w:val="single"/>
          <w:rtl/>
        </w:rPr>
        <w:t>למנוח בעת פטירתו היו שלושה בנים</w:t>
      </w:r>
      <w:r>
        <w:rPr>
          <w:rFonts w:ascii="David" w:hAnsi="David"/>
          <w:rtl/>
        </w:rPr>
        <w:t>:</w:t>
      </w:r>
    </w:p>
    <w:p w:rsidR="00457B60" w:rsidRDefault="000F5BF7" w:rsidP="00457B60">
      <w:pPr>
        <w:spacing w:after="120" w:line="360" w:lineRule="auto"/>
        <w:ind w:left="720" w:hanging="720"/>
        <w:jc w:val="both"/>
        <w:rPr>
          <w:rFonts w:ascii="David" w:hAnsi="David"/>
          <w:rtl/>
        </w:rPr>
      </w:pPr>
      <w:r>
        <w:rPr>
          <w:rFonts w:ascii="David" w:hAnsi="David"/>
          <w:rtl/>
        </w:rPr>
        <w:tab/>
        <w:t>ס</w:t>
      </w:r>
      <w:r>
        <w:rPr>
          <w:rFonts w:ascii="David" w:hAnsi="David" w:hint="cs"/>
          <w:rtl/>
        </w:rPr>
        <w:t xml:space="preserve">. </w:t>
      </w:r>
      <w:r>
        <w:rPr>
          <w:rFonts w:ascii="David" w:hAnsi="David"/>
          <w:rtl/>
        </w:rPr>
        <w:t>מ</w:t>
      </w:r>
      <w:r>
        <w:rPr>
          <w:rFonts w:ascii="David" w:hAnsi="David" w:hint="cs"/>
          <w:rtl/>
        </w:rPr>
        <w:t>.</w:t>
      </w:r>
      <w:r>
        <w:rPr>
          <w:rFonts w:ascii="David" w:hAnsi="David"/>
          <w:rtl/>
        </w:rPr>
        <w:t xml:space="preserve"> ע</w:t>
      </w:r>
      <w:r w:rsidR="00457B60">
        <w:rPr>
          <w:rFonts w:ascii="David" w:hAnsi="David"/>
          <w:rtl/>
        </w:rPr>
        <w:t xml:space="preserve"> (להלן: </w:t>
      </w:r>
      <w:r>
        <w:rPr>
          <w:rFonts w:ascii="David" w:hAnsi="David"/>
          <w:b/>
          <w:bCs/>
          <w:rtl/>
        </w:rPr>
        <w:t>"ס</w:t>
      </w:r>
      <w:r>
        <w:rPr>
          <w:rFonts w:ascii="David" w:hAnsi="David" w:hint="cs"/>
          <w:b/>
          <w:bCs/>
          <w:rtl/>
        </w:rPr>
        <w:t xml:space="preserve">' </w:t>
      </w:r>
      <w:r w:rsidR="00457B60">
        <w:rPr>
          <w:rFonts w:ascii="David" w:hAnsi="David"/>
          <w:b/>
          <w:bCs/>
          <w:rtl/>
        </w:rPr>
        <w:t>"</w:t>
      </w:r>
      <w:r w:rsidR="00457B60">
        <w:rPr>
          <w:rFonts w:ascii="David" w:hAnsi="David"/>
          <w:rtl/>
        </w:rPr>
        <w:t>);</w:t>
      </w:r>
    </w:p>
    <w:p w:rsidR="00457B60" w:rsidRDefault="000F5BF7" w:rsidP="000F5BF7">
      <w:pPr>
        <w:spacing w:after="120" w:line="360" w:lineRule="auto"/>
        <w:ind w:left="720" w:hanging="720"/>
        <w:jc w:val="both"/>
        <w:rPr>
          <w:rFonts w:ascii="David" w:hAnsi="David"/>
          <w:rtl/>
        </w:rPr>
      </w:pPr>
      <w:r>
        <w:rPr>
          <w:rFonts w:ascii="David" w:hAnsi="David"/>
          <w:rtl/>
        </w:rPr>
        <w:tab/>
        <w:t>ו</w:t>
      </w:r>
      <w:r>
        <w:rPr>
          <w:rFonts w:ascii="David" w:hAnsi="David" w:hint="cs"/>
          <w:rtl/>
        </w:rPr>
        <w:t>.</w:t>
      </w:r>
      <w:r>
        <w:rPr>
          <w:rFonts w:ascii="David" w:hAnsi="David"/>
          <w:rtl/>
        </w:rPr>
        <w:t xml:space="preserve"> מ</w:t>
      </w:r>
      <w:r>
        <w:rPr>
          <w:rFonts w:ascii="David" w:hAnsi="David" w:hint="cs"/>
          <w:rtl/>
        </w:rPr>
        <w:t>.</w:t>
      </w:r>
      <w:r>
        <w:rPr>
          <w:rFonts w:ascii="David" w:hAnsi="David"/>
          <w:rtl/>
        </w:rPr>
        <w:t xml:space="preserve"> ע</w:t>
      </w:r>
      <w:r w:rsidR="00457B60">
        <w:rPr>
          <w:rFonts w:ascii="David" w:hAnsi="David"/>
          <w:rtl/>
        </w:rPr>
        <w:t xml:space="preserve"> (להלן: </w:t>
      </w:r>
      <w:r>
        <w:rPr>
          <w:rFonts w:ascii="David" w:hAnsi="David"/>
          <w:b/>
          <w:bCs/>
          <w:rtl/>
        </w:rPr>
        <w:t>"ו</w:t>
      </w:r>
      <w:r>
        <w:rPr>
          <w:rFonts w:ascii="David" w:hAnsi="David" w:hint="cs"/>
          <w:b/>
          <w:bCs/>
          <w:rtl/>
        </w:rPr>
        <w:t xml:space="preserve">' </w:t>
      </w:r>
      <w:r w:rsidR="00457B60">
        <w:rPr>
          <w:rFonts w:ascii="David" w:hAnsi="David"/>
          <w:b/>
          <w:bCs/>
          <w:rtl/>
        </w:rPr>
        <w:t>"</w:t>
      </w:r>
      <w:r w:rsidR="00457B60">
        <w:rPr>
          <w:rFonts w:ascii="David" w:hAnsi="David"/>
          <w:rtl/>
        </w:rPr>
        <w:t>);</w:t>
      </w:r>
    </w:p>
    <w:p w:rsidR="00457B60" w:rsidRDefault="000F5BF7" w:rsidP="000F5BF7">
      <w:pPr>
        <w:spacing w:after="120" w:line="360" w:lineRule="auto"/>
        <w:ind w:left="720" w:hanging="720"/>
        <w:jc w:val="both"/>
        <w:rPr>
          <w:rFonts w:ascii="David" w:hAnsi="David"/>
          <w:rtl/>
        </w:rPr>
      </w:pPr>
      <w:r>
        <w:rPr>
          <w:rFonts w:ascii="David" w:hAnsi="David"/>
          <w:rtl/>
        </w:rPr>
        <w:tab/>
        <w:t>מ</w:t>
      </w:r>
      <w:r>
        <w:rPr>
          <w:rFonts w:ascii="David" w:hAnsi="David" w:hint="cs"/>
          <w:rtl/>
        </w:rPr>
        <w:t>.</w:t>
      </w:r>
      <w:r>
        <w:rPr>
          <w:rFonts w:ascii="David" w:hAnsi="David"/>
          <w:rtl/>
        </w:rPr>
        <w:t xml:space="preserve"> מ</w:t>
      </w:r>
      <w:r>
        <w:rPr>
          <w:rFonts w:ascii="David" w:hAnsi="David" w:hint="cs"/>
          <w:rtl/>
        </w:rPr>
        <w:t>.</w:t>
      </w:r>
      <w:r>
        <w:rPr>
          <w:rFonts w:ascii="David" w:hAnsi="David"/>
          <w:rtl/>
        </w:rPr>
        <w:t xml:space="preserve"> ע</w:t>
      </w:r>
      <w:r w:rsidR="00457B60">
        <w:rPr>
          <w:rFonts w:ascii="David" w:hAnsi="David"/>
          <w:rtl/>
        </w:rPr>
        <w:t xml:space="preserve"> (להלן: </w:t>
      </w:r>
      <w:r>
        <w:rPr>
          <w:rFonts w:ascii="David" w:hAnsi="David"/>
          <w:b/>
          <w:bCs/>
          <w:rtl/>
        </w:rPr>
        <w:t>"מ</w:t>
      </w:r>
      <w:r>
        <w:rPr>
          <w:rFonts w:ascii="David" w:hAnsi="David" w:hint="cs"/>
          <w:b/>
          <w:bCs/>
          <w:rtl/>
        </w:rPr>
        <w:t xml:space="preserve">' </w:t>
      </w:r>
      <w:r w:rsidR="00457B60">
        <w:rPr>
          <w:rFonts w:ascii="David" w:hAnsi="David"/>
          <w:b/>
          <w:bCs/>
          <w:rtl/>
        </w:rPr>
        <w:t>"</w:t>
      </w:r>
      <w:r w:rsidR="00457B60">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t xml:space="preserve">(להלן: </w:t>
      </w:r>
      <w:r>
        <w:rPr>
          <w:rFonts w:ascii="David" w:hAnsi="David"/>
          <w:b/>
          <w:bCs/>
          <w:rtl/>
        </w:rPr>
        <w:t>"האחים"</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r>
      <w:r w:rsidR="000F5BF7">
        <w:rPr>
          <w:rFonts w:ascii="David" w:hAnsi="David"/>
          <w:rtl/>
        </w:rPr>
        <w:t>ס</w:t>
      </w:r>
      <w:r w:rsidR="000F5BF7">
        <w:rPr>
          <w:rFonts w:ascii="David" w:hAnsi="David" w:hint="cs"/>
          <w:rtl/>
        </w:rPr>
        <w:t>'</w:t>
      </w:r>
      <w:r>
        <w:rPr>
          <w:rFonts w:ascii="David" w:hAnsi="David"/>
          <w:rtl/>
        </w:rPr>
        <w:t xml:space="preserve"> נפטר לאחר הגשת הסיכומים וטרם מתן פסק הדין, ובערעורים דנן יורשיו החוקיים הם בעלי הדין תחתיו (עמ' 1 לפסק הדין שו' 24). </w:t>
      </w:r>
    </w:p>
    <w:p w:rsidR="00457B60" w:rsidRDefault="00457B60" w:rsidP="000F5BF7">
      <w:pPr>
        <w:spacing w:after="120" w:line="360" w:lineRule="auto"/>
        <w:ind w:left="720" w:hanging="720"/>
        <w:jc w:val="both"/>
        <w:rPr>
          <w:rFonts w:ascii="David" w:hAnsi="David"/>
          <w:rtl/>
        </w:rPr>
      </w:pPr>
      <w:r>
        <w:rPr>
          <w:rFonts w:ascii="David" w:hAnsi="David"/>
          <w:rtl/>
        </w:rPr>
        <w:t>3.</w:t>
      </w:r>
      <w:r>
        <w:rPr>
          <w:rFonts w:ascii="David" w:hAnsi="David"/>
          <w:rtl/>
        </w:rPr>
        <w:tab/>
        <w:t xml:space="preserve">המנוח הלך לעולמו ביום </w:t>
      </w:r>
      <w:r w:rsidR="000F5BF7">
        <w:rPr>
          <w:rFonts w:ascii="David" w:hAnsi="David" w:hint="cs"/>
          <w:rtl/>
        </w:rPr>
        <w:t>0.0</w:t>
      </w:r>
      <w:r>
        <w:rPr>
          <w:rFonts w:ascii="David" w:hAnsi="David"/>
          <w:rtl/>
        </w:rPr>
        <w:t xml:space="preserve">.1983, ובעת </w:t>
      </w:r>
      <w:r w:rsidR="000F5BF7">
        <w:rPr>
          <w:rFonts w:ascii="David" w:hAnsi="David"/>
          <w:rtl/>
        </w:rPr>
        <w:t>פטירתו היה ידוע לאחים (לגבי ו</w:t>
      </w:r>
      <w:r w:rsidR="000F5BF7">
        <w:rPr>
          <w:rFonts w:ascii="David" w:hAnsi="David" w:hint="cs"/>
          <w:rtl/>
        </w:rPr>
        <w:t>'</w:t>
      </w:r>
      <w:r>
        <w:rPr>
          <w:rFonts w:ascii="David" w:hAnsi="David"/>
          <w:rtl/>
        </w:rPr>
        <w:t xml:space="preserve"> אדייק יותר לגבי ידיעתו בהמשך), על שתי צוואות שהותיר אחריו, מתאריכים: 23.5.1981 ו- 2.7.1981. בשתי צוואות אלה ציווה המנוח את עזבונו לשלושת בניו דלעיל, הגם שלא בחלקים שווים, שכן בהן ציווה ל</w:t>
      </w:r>
      <w:r w:rsidR="000F5BF7">
        <w:rPr>
          <w:rFonts w:ascii="David" w:hAnsi="David"/>
          <w:rtl/>
        </w:rPr>
        <w:t>ו'</w:t>
      </w:r>
      <w:r>
        <w:rPr>
          <w:rFonts w:ascii="David" w:hAnsi="David"/>
          <w:rtl/>
        </w:rPr>
        <w:t xml:space="preserve"> חלק גדול יותר (להלן: </w:t>
      </w:r>
      <w:r>
        <w:rPr>
          <w:rFonts w:ascii="David" w:hAnsi="David"/>
          <w:b/>
          <w:bCs/>
          <w:rtl/>
        </w:rPr>
        <w:t>"הצוואות"</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4.</w:t>
      </w:r>
      <w:r>
        <w:rPr>
          <w:rFonts w:ascii="David" w:hAnsi="David"/>
          <w:rtl/>
        </w:rPr>
        <w:tab/>
        <w:t>במצב דברים זה, ולמרות הצוואות ובניגוד להן, הגיעו כל ילדי המנוח (האחים ושתי אחיות) להסכמה ביניהם על חלוקת עזבון אביהם המנוח.</w:t>
      </w:r>
    </w:p>
    <w:p w:rsidR="00457B60" w:rsidRDefault="00457B60" w:rsidP="00457B60">
      <w:pPr>
        <w:spacing w:after="120" w:line="360" w:lineRule="auto"/>
        <w:ind w:left="720" w:hanging="720"/>
        <w:jc w:val="both"/>
        <w:rPr>
          <w:rFonts w:ascii="David" w:hAnsi="David"/>
          <w:rtl/>
        </w:rPr>
      </w:pPr>
      <w:r>
        <w:rPr>
          <w:rFonts w:ascii="David" w:hAnsi="David"/>
          <w:rtl/>
        </w:rPr>
        <w:tab/>
      </w:r>
      <w:r>
        <w:rPr>
          <w:rFonts w:ascii="David" w:hAnsi="David"/>
          <w:u w:val="single"/>
          <w:rtl/>
        </w:rPr>
        <w:t>כך התבצע הדבר</w:t>
      </w:r>
      <w:r>
        <w:rPr>
          <w:rFonts w:ascii="David" w:hAnsi="David"/>
          <w:rtl/>
        </w:rPr>
        <w:t>:</w:t>
      </w:r>
    </w:p>
    <w:p w:rsidR="00457B60" w:rsidRDefault="00457B60" w:rsidP="00457B60">
      <w:pPr>
        <w:spacing w:after="120" w:line="360" w:lineRule="auto"/>
        <w:ind w:left="720"/>
        <w:jc w:val="both"/>
        <w:rPr>
          <w:rFonts w:ascii="David" w:hAnsi="David"/>
          <w:rtl/>
        </w:rPr>
      </w:pPr>
      <w:r>
        <w:rPr>
          <w:rFonts w:ascii="David" w:hAnsi="David"/>
          <w:rtl/>
        </w:rPr>
        <w:t>ביום 21.3.92 חתמו כל ילדי המנוח (האחים ושתי אחיותיהם) על מסמך הנושא כותרת "הצהרה", בו הם מצהירים כי שתי הצוואות שהותיר אחריו המנוח בטלות ומבוטלות, וכי עזבון המנוח יחולק בחלקים שווים בין שלושת בניו. קרי – האחים.</w:t>
      </w:r>
    </w:p>
    <w:p w:rsidR="00457B60" w:rsidRDefault="00457B60" w:rsidP="00457B60">
      <w:pPr>
        <w:spacing w:after="120" w:line="360" w:lineRule="auto"/>
        <w:ind w:left="720"/>
        <w:jc w:val="both"/>
        <w:rPr>
          <w:rFonts w:ascii="David" w:hAnsi="David"/>
          <w:rtl/>
        </w:rPr>
      </w:pPr>
      <w:r>
        <w:rPr>
          <w:rFonts w:ascii="David" w:hAnsi="David"/>
          <w:rtl/>
        </w:rPr>
        <w:t>בשנת 1995, הגיעו האחים, בעזרתו של עו"ד ויקטור מנסור, להסכם חלוקת עזבון המנוח, שנחתם ביום 25.5.1995 (להלן:</w:t>
      </w:r>
      <w:r>
        <w:rPr>
          <w:rFonts w:ascii="David" w:hAnsi="David"/>
        </w:rPr>
        <w:t xml:space="preserve"> </w:t>
      </w:r>
      <w:r>
        <w:rPr>
          <w:rFonts w:ascii="David" w:hAnsi="David"/>
          <w:b/>
          <w:bCs/>
          <w:rtl/>
        </w:rPr>
        <w:t>"הסכם החלוקה"</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lastRenderedPageBreak/>
        <w:t>5.</w:t>
      </w:r>
      <w:r>
        <w:rPr>
          <w:rFonts w:ascii="David" w:hAnsi="David"/>
          <w:rtl/>
        </w:rPr>
        <w:tab/>
        <w:t xml:space="preserve">בשנת 1996 עתרו האחים לבית הדין הכנסייתי בבקשה למתן צו ירושה אחר עזבונו של המנוח, לפיו היורשים על פי דין הינם האחים, בניו של המנוח (צורפו תצהירי הסתלקות מטעם האחיות). בבקשה צוין כי המנוח לא הותיר אחריו צוואה. היינו האחים הסתירו מבית הדין את קיומן של הצוואות, ואף לא פעלו לאישור הסכמותיהם נשוא הסכם חלוקה, לעניין חלוקת עיזבון המנוח, בפני בית הדין. </w:t>
      </w:r>
    </w:p>
    <w:p w:rsidR="00457B60" w:rsidRDefault="00457B60" w:rsidP="00457B60">
      <w:pPr>
        <w:spacing w:after="120" w:line="360" w:lineRule="auto"/>
        <w:ind w:left="720" w:hanging="720"/>
        <w:jc w:val="both"/>
        <w:rPr>
          <w:rFonts w:ascii="David" w:hAnsi="David"/>
          <w:rtl/>
        </w:rPr>
      </w:pPr>
      <w:r>
        <w:rPr>
          <w:rFonts w:ascii="David" w:hAnsi="David"/>
          <w:rtl/>
        </w:rPr>
        <w:t>6.</w:t>
      </w:r>
      <w:r>
        <w:rPr>
          <w:rFonts w:ascii="David" w:hAnsi="David"/>
          <w:rtl/>
        </w:rPr>
        <w:tab/>
        <w:t xml:space="preserve">צו ירושה כאמור אחר עזבונו של המנוח ניתן על ידי בית הדין הכנסייתי ביום 22.11.1996 (להלן: </w:t>
      </w:r>
      <w:r>
        <w:rPr>
          <w:rFonts w:ascii="David" w:hAnsi="David"/>
          <w:b/>
          <w:bCs/>
          <w:rtl/>
        </w:rPr>
        <w:t>"צו הירושה"</w:t>
      </w:r>
      <w:r>
        <w:rPr>
          <w:rFonts w:ascii="David" w:hAnsi="David"/>
          <w:rtl/>
        </w:rPr>
        <w:t>).</w:t>
      </w:r>
    </w:p>
    <w:p w:rsidR="00457B60" w:rsidRDefault="00457B60" w:rsidP="000F5BF7">
      <w:pPr>
        <w:spacing w:after="120" w:line="360" w:lineRule="auto"/>
        <w:ind w:left="720" w:hanging="720"/>
        <w:jc w:val="both"/>
        <w:rPr>
          <w:rFonts w:ascii="David" w:hAnsi="David"/>
          <w:rtl/>
        </w:rPr>
      </w:pPr>
      <w:r>
        <w:rPr>
          <w:rFonts w:ascii="David" w:hAnsi="David"/>
          <w:rtl/>
        </w:rPr>
        <w:t>7.</w:t>
      </w:r>
      <w:r>
        <w:rPr>
          <w:rFonts w:ascii="David" w:hAnsi="David"/>
          <w:rtl/>
        </w:rPr>
        <w:tab/>
        <w:t>לימים נתגלע סכסוך בין האחים בעניין חלוקת עזבון המנוח.</w:t>
      </w:r>
    </w:p>
    <w:p w:rsidR="00457B60" w:rsidRDefault="00457B60" w:rsidP="000F5BF7">
      <w:pPr>
        <w:spacing w:after="120" w:line="360" w:lineRule="auto"/>
        <w:ind w:left="720"/>
        <w:jc w:val="both"/>
        <w:rPr>
          <w:rFonts w:ascii="David" w:hAnsi="David"/>
          <w:rtl/>
        </w:rPr>
      </w:pPr>
      <w:r>
        <w:rPr>
          <w:rFonts w:ascii="David" w:hAnsi="David"/>
          <w:rtl/>
        </w:rPr>
        <w:t xml:space="preserve">במצב דברים זה, בשנת 2003 עתר </w:t>
      </w:r>
      <w:r w:rsidR="000F5BF7">
        <w:rPr>
          <w:rFonts w:ascii="David" w:hAnsi="David"/>
          <w:rtl/>
        </w:rPr>
        <w:t>ס'</w:t>
      </w:r>
      <w:r>
        <w:rPr>
          <w:rFonts w:ascii="David" w:hAnsi="David"/>
          <w:rtl/>
        </w:rPr>
        <w:t xml:space="preserve"> בתביעה לביהמ"ש לעניינ</w:t>
      </w:r>
      <w:r w:rsidR="000F5BF7">
        <w:rPr>
          <w:rFonts w:ascii="David" w:hAnsi="David"/>
          <w:rtl/>
        </w:rPr>
        <w:t>י משפחה לאכיפת הסכם החלוקה (תיק</w:t>
      </w:r>
      <w:r w:rsidR="000F5BF7">
        <w:rPr>
          <w:rFonts w:ascii="David" w:hAnsi="David" w:hint="cs"/>
          <w:rtl/>
        </w:rPr>
        <w:t xml:space="preserve"> </w:t>
      </w:r>
      <w:r>
        <w:rPr>
          <w:rFonts w:ascii="David" w:hAnsi="David"/>
          <w:rtl/>
        </w:rPr>
        <w:t>תמ"ש 11460/03).</w:t>
      </w:r>
    </w:p>
    <w:p w:rsidR="00457B60" w:rsidRDefault="00457B60" w:rsidP="000F5BF7">
      <w:pPr>
        <w:spacing w:after="120" w:line="360" w:lineRule="auto"/>
        <w:ind w:left="720"/>
        <w:jc w:val="both"/>
        <w:rPr>
          <w:rFonts w:ascii="David" w:hAnsi="David"/>
          <w:rtl/>
        </w:rPr>
      </w:pPr>
      <w:r>
        <w:rPr>
          <w:rFonts w:ascii="David" w:hAnsi="David"/>
          <w:rtl/>
        </w:rPr>
        <w:t xml:space="preserve">מנגד, ביום 16.6.03 (לאחר הגשת התביעה לאכיפה על ידי </w:t>
      </w:r>
      <w:r w:rsidR="000F5BF7">
        <w:rPr>
          <w:rFonts w:ascii="David" w:hAnsi="David"/>
          <w:rtl/>
        </w:rPr>
        <w:t>ס'</w:t>
      </w:r>
      <w:r>
        <w:rPr>
          <w:rFonts w:ascii="David" w:hAnsi="David"/>
          <w:rtl/>
        </w:rPr>
        <w:t xml:space="preserve">) הגיש </w:t>
      </w:r>
      <w:r w:rsidR="000F5BF7">
        <w:rPr>
          <w:rFonts w:ascii="David" w:hAnsi="David"/>
          <w:rtl/>
        </w:rPr>
        <w:t>ו'</w:t>
      </w:r>
      <w:r>
        <w:rPr>
          <w:rFonts w:ascii="David" w:hAnsi="David"/>
          <w:rtl/>
        </w:rPr>
        <w:t xml:space="preserve"> לבית הדין הכנסייתי בקשה לביטול צו הירושה, אליה צירף שלוש צוואות שערך המנוח  קרי: צוואת מאי 81, צוואת יולי 81 וכן צוואה נוספת מיום 23.8.1981, היא הצוואה שבמחלוקת, במסגרתה </w:t>
      </w:r>
      <w:r w:rsidR="000F5BF7">
        <w:rPr>
          <w:rFonts w:ascii="David" w:hAnsi="David"/>
          <w:rtl/>
        </w:rPr>
        <w:t>ו'</w:t>
      </w:r>
      <w:r>
        <w:rPr>
          <w:rFonts w:ascii="David" w:hAnsi="David"/>
          <w:rtl/>
        </w:rPr>
        <w:t xml:space="preserve"> הזוכה היחיד במלוא עזבונו של המנוח, שכלל שטחי מקרקעין רבים, מעל 100 דונם.</w:t>
      </w:r>
    </w:p>
    <w:p w:rsidR="00457B60" w:rsidRDefault="00457B60" w:rsidP="00457B60">
      <w:pPr>
        <w:spacing w:after="120" w:line="360" w:lineRule="auto"/>
        <w:ind w:left="720"/>
        <w:jc w:val="both"/>
        <w:rPr>
          <w:rFonts w:ascii="David" w:hAnsi="David"/>
          <w:rtl/>
        </w:rPr>
      </w:pPr>
      <w:r>
        <w:rPr>
          <w:rFonts w:ascii="David" w:hAnsi="David"/>
          <w:rtl/>
        </w:rPr>
        <w:t xml:space="preserve">ודוק – </w:t>
      </w:r>
      <w:r w:rsidR="000F5BF7">
        <w:rPr>
          <w:rFonts w:ascii="David" w:hAnsi="David"/>
          <w:rtl/>
        </w:rPr>
        <w:t>ס'</w:t>
      </w:r>
      <w:r>
        <w:rPr>
          <w:rFonts w:ascii="David" w:hAnsi="David"/>
          <w:rtl/>
        </w:rPr>
        <w:t xml:space="preserve"> ו</w:t>
      </w:r>
      <w:r w:rsidR="000F5BF7">
        <w:rPr>
          <w:rFonts w:ascii="David" w:hAnsi="David"/>
          <w:rtl/>
        </w:rPr>
        <w:t>מ'</w:t>
      </w:r>
      <w:r>
        <w:rPr>
          <w:rFonts w:ascii="David" w:hAnsi="David"/>
          <w:rtl/>
        </w:rPr>
        <w:t xml:space="preserve"> נחשפו רק אז לראשונה (שנת 2003) לצוואה שבמחלוקת, ובית הדין נחשף לראשונה לקיומן של צוואות המנוח (כאמור, בבקשת צו הירושה נרשם כי המנוח לא הותיר אחריו צוואה). </w:t>
      </w:r>
    </w:p>
    <w:p w:rsidR="00457B60" w:rsidRDefault="00457B60" w:rsidP="00457B60">
      <w:pPr>
        <w:spacing w:after="120" w:line="360" w:lineRule="auto"/>
        <w:ind w:left="720" w:hanging="720"/>
        <w:jc w:val="both"/>
        <w:rPr>
          <w:rFonts w:ascii="David" w:hAnsi="David"/>
          <w:rtl/>
        </w:rPr>
      </w:pPr>
      <w:r>
        <w:rPr>
          <w:rFonts w:ascii="David" w:hAnsi="David"/>
          <w:rtl/>
        </w:rPr>
        <w:t>8.</w:t>
      </w:r>
      <w:r>
        <w:rPr>
          <w:rFonts w:ascii="David" w:hAnsi="David"/>
          <w:rtl/>
        </w:rPr>
        <w:tab/>
        <w:t xml:space="preserve">ביום 21.4.09 מחק בית המשפט לענייני משפחה (תמ"ש 11460/03) את תביעת </w:t>
      </w:r>
      <w:r w:rsidR="000F5BF7">
        <w:rPr>
          <w:rFonts w:ascii="David" w:hAnsi="David"/>
          <w:rtl/>
        </w:rPr>
        <w:t>ס'</w:t>
      </w:r>
      <w:r>
        <w:rPr>
          <w:rFonts w:ascii="David" w:hAnsi="David"/>
          <w:rtl/>
        </w:rPr>
        <w:t xml:space="preserve"> לאכיפת הסכם החלוקה, לאחר שנקבע כי פסק הדין הכנסייתי הינו חיוני לצורך הכרעה במחלוקת, ונדמה כי </w:t>
      </w:r>
      <w:r w:rsidR="000F5BF7">
        <w:rPr>
          <w:rFonts w:ascii="David" w:hAnsi="David"/>
          <w:rtl/>
        </w:rPr>
        <w:t>ס'</w:t>
      </w:r>
      <w:r>
        <w:rPr>
          <w:rFonts w:ascii="David" w:hAnsi="David"/>
          <w:rtl/>
        </w:rPr>
        <w:t xml:space="preserve"> (המבקש) איבד עניין בתובענה. </w:t>
      </w:r>
    </w:p>
    <w:p w:rsidR="00457B60" w:rsidRDefault="00457B60" w:rsidP="00457B60">
      <w:pPr>
        <w:spacing w:after="120" w:line="360" w:lineRule="auto"/>
        <w:ind w:left="720" w:hanging="720"/>
        <w:jc w:val="both"/>
        <w:rPr>
          <w:rFonts w:ascii="David" w:hAnsi="David"/>
          <w:rtl/>
        </w:rPr>
      </w:pPr>
      <w:r>
        <w:rPr>
          <w:rFonts w:ascii="David" w:hAnsi="David"/>
          <w:rtl/>
        </w:rPr>
        <w:t>9.</w:t>
      </w:r>
      <w:r>
        <w:rPr>
          <w:rFonts w:ascii="David" w:hAnsi="David"/>
          <w:rtl/>
        </w:rPr>
        <w:tab/>
        <w:t xml:space="preserve">ביום 9.7.09 ניתן פסק הדין של ביה"ד הכנסייתי המבטל את צו הירושה, לאחר שקבע, כי כל הצדדים נהגו בחוסר תום לב, בהסתירם את צוואות המנוח. </w:t>
      </w:r>
    </w:p>
    <w:p w:rsidR="00457B60" w:rsidRDefault="00457B60" w:rsidP="00457B60">
      <w:pPr>
        <w:spacing w:after="120" w:line="360" w:lineRule="auto"/>
        <w:ind w:left="720" w:hanging="720"/>
        <w:jc w:val="both"/>
        <w:rPr>
          <w:rFonts w:ascii="David" w:hAnsi="David"/>
          <w:rtl/>
        </w:rPr>
      </w:pPr>
      <w:r>
        <w:rPr>
          <w:rFonts w:ascii="David" w:hAnsi="David"/>
          <w:rtl/>
        </w:rPr>
        <w:tab/>
      </w:r>
      <w:r w:rsidR="000F5BF7">
        <w:rPr>
          <w:rFonts w:ascii="David" w:hAnsi="David"/>
          <w:rtl/>
        </w:rPr>
        <w:t>ס'</w:t>
      </w:r>
      <w:r>
        <w:rPr>
          <w:rFonts w:ascii="David" w:hAnsi="David"/>
          <w:rtl/>
        </w:rPr>
        <w:t xml:space="preserve"> הגיש ערעור על פסק הדין הכנסייתי האמור ביום 19.8.2009, אך לא ידוע מה עלה בגורלו (המערערים טוענים שעוד אין בו הכרעה ו-</w:t>
      </w:r>
      <w:r w:rsidR="000F5BF7">
        <w:rPr>
          <w:rFonts w:ascii="David" w:hAnsi="David"/>
          <w:rtl/>
        </w:rPr>
        <w:t>ו'</w:t>
      </w:r>
      <w:r>
        <w:rPr>
          <w:rFonts w:ascii="David" w:hAnsi="David"/>
          <w:rtl/>
        </w:rPr>
        <w:t xml:space="preserve"> טוען כי נדחה). </w:t>
      </w:r>
    </w:p>
    <w:p w:rsidR="00457B60" w:rsidRDefault="00457B60" w:rsidP="00457B60">
      <w:pPr>
        <w:spacing w:after="120" w:line="360" w:lineRule="auto"/>
        <w:ind w:left="720" w:hanging="720"/>
        <w:jc w:val="both"/>
        <w:rPr>
          <w:rFonts w:ascii="David" w:hAnsi="David"/>
          <w:rtl/>
        </w:rPr>
      </w:pPr>
      <w:r>
        <w:rPr>
          <w:rFonts w:ascii="David" w:hAnsi="David"/>
          <w:rtl/>
        </w:rPr>
        <w:t xml:space="preserve"> 10.</w:t>
      </w:r>
      <w:r>
        <w:rPr>
          <w:rFonts w:ascii="David" w:hAnsi="David"/>
          <w:rtl/>
        </w:rPr>
        <w:tab/>
        <w:t xml:space="preserve">לאחר שבוטל צו הירושה על ידי בית הדין הכנסייתי, מיהר </w:t>
      </w:r>
      <w:r w:rsidR="000F5BF7">
        <w:rPr>
          <w:rFonts w:ascii="David" w:hAnsi="David"/>
          <w:rtl/>
        </w:rPr>
        <w:t>ו'</w:t>
      </w:r>
      <w:r>
        <w:rPr>
          <w:rFonts w:ascii="David" w:hAnsi="David"/>
          <w:rtl/>
        </w:rPr>
        <w:t xml:space="preserve"> להגיש ביום 17.9.09 לרשם לענייני ירושה, בקשה למתן צו קיום צוואת המנוח מיום 23.8.1981 (הצוואה שבמחלוקת).</w:t>
      </w:r>
    </w:p>
    <w:p w:rsidR="00457B60" w:rsidRDefault="00457B60" w:rsidP="00457B60">
      <w:pPr>
        <w:tabs>
          <w:tab w:val="center" w:pos="4513"/>
        </w:tabs>
        <w:spacing w:after="120" w:line="360" w:lineRule="auto"/>
        <w:ind w:left="720"/>
        <w:jc w:val="both"/>
        <w:rPr>
          <w:rFonts w:ascii="David" w:hAnsi="David"/>
          <w:rtl/>
        </w:rPr>
      </w:pPr>
      <w:r>
        <w:rPr>
          <w:rFonts w:ascii="David" w:hAnsi="David"/>
          <w:rtl/>
        </w:rPr>
        <w:t xml:space="preserve">צו קיום צוואה ניתן ביום 15.11.09 (להלן: </w:t>
      </w:r>
      <w:r>
        <w:rPr>
          <w:rFonts w:ascii="David" w:hAnsi="David"/>
          <w:b/>
          <w:bCs/>
          <w:rtl/>
        </w:rPr>
        <w:t>"צו קיום הצוואה"</w:t>
      </w:r>
      <w:r>
        <w:rPr>
          <w:rFonts w:ascii="David" w:hAnsi="David"/>
          <w:rtl/>
        </w:rPr>
        <w:t>).</w:t>
      </w:r>
      <w:r>
        <w:rPr>
          <w:rFonts w:ascii="David" w:hAnsi="David"/>
          <w:rtl/>
        </w:rPr>
        <w:tab/>
      </w:r>
    </w:p>
    <w:p w:rsidR="00457B60" w:rsidRDefault="00457B60" w:rsidP="00457B60">
      <w:pPr>
        <w:spacing w:after="120" w:line="360" w:lineRule="auto"/>
        <w:ind w:left="720" w:hanging="720"/>
        <w:jc w:val="both"/>
        <w:rPr>
          <w:rFonts w:ascii="David" w:hAnsi="David"/>
          <w:rtl/>
        </w:rPr>
      </w:pPr>
      <w:r>
        <w:rPr>
          <w:rFonts w:ascii="David" w:hAnsi="David"/>
          <w:rtl/>
        </w:rPr>
        <w:t>11.</w:t>
      </w:r>
      <w:r>
        <w:rPr>
          <w:rFonts w:ascii="David" w:hAnsi="David"/>
          <w:rtl/>
        </w:rPr>
        <w:tab/>
        <w:t xml:space="preserve">ביום 7.4.10 הגיש </w:t>
      </w:r>
      <w:r w:rsidR="000F5BF7">
        <w:rPr>
          <w:rFonts w:ascii="David" w:hAnsi="David"/>
          <w:rtl/>
        </w:rPr>
        <w:t>ס'</w:t>
      </w:r>
      <w:r>
        <w:rPr>
          <w:rFonts w:ascii="David" w:hAnsi="David"/>
          <w:rtl/>
        </w:rPr>
        <w:t xml:space="preserve"> בקשה לביטול צו קיום הצוואה, שהועברה לבית המשפט במסגרת ת"ע 41536-05-10 – אשר נמחקה מחמת חוסר מעש בהחלטה מיום 7.7.2013.   </w:t>
      </w:r>
    </w:p>
    <w:p w:rsidR="00457B60" w:rsidRDefault="00457B60" w:rsidP="00457B60">
      <w:pPr>
        <w:spacing w:after="120" w:line="360" w:lineRule="auto"/>
        <w:ind w:left="720"/>
        <w:jc w:val="both"/>
        <w:rPr>
          <w:rFonts w:ascii="David" w:hAnsi="David"/>
          <w:rtl/>
        </w:rPr>
      </w:pPr>
      <w:r>
        <w:rPr>
          <w:rFonts w:ascii="David" w:hAnsi="David"/>
          <w:rtl/>
        </w:rPr>
        <w:t xml:space="preserve">ביום 5.5.16 הוגשה בקשתו הנוספת של </w:t>
      </w:r>
      <w:r w:rsidR="000F5BF7">
        <w:rPr>
          <w:rFonts w:ascii="David" w:hAnsi="David"/>
          <w:rtl/>
        </w:rPr>
        <w:t>ס'</w:t>
      </w:r>
      <w:r>
        <w:rPr>
          <w:rFonts w:ascii="David" w:hAnsi="David"/>
          <w:rtl/>
        </w:rPr>
        <w:t xml:space="preserve"> לביטול צו קיום הצוואה – היא הבקשה נשוא ההליך קמא דנן.</w:t>
      </w:r>
    </w:p>
    <w:p w:rsidR="00457B60" w:rsidRDefault="00457B60" w:rsidP="00457B60">
      <w:pPr>
        <w:spacing w:after="120" w:line="360" w:lineRule="auto"/>
        <w:ind w:left="720" w:hanging="720"/>
        <w:jc w:val="both"/>
        <w:rPr>
          <w:rFonts w:ascii="David" w:hAnsi="David"/>
          <w:rtl/>
        </w:rPr>
      </w:pPr>
      <w:r>
        <w:rPr>
          <w:rFonts w:ascii="David" w:hAnsi="David"/>
          <w:rtl/>
        </w:rPr>
        <w:t xml:space="preserve"> </w:t>
      </w:r>
      <w:r>
        <w:rPr>
          <w:rFonts w:ascii="David" w:hAnsi="David"/>
          <w:rtl/>
        </w:rPr>
        <w:tab/>
        <w:t xml:space="preserve">ביום 3.10.2017 הודיע </w:t>
      </w:r>
      <w:r w:rsidR="000F5BF7">
        <w:rPr>
          <w:rFonts w:ascii="David" w:hAnsi="David"/>
          <w:rtl/>
        </w:rPr>
        <w:t>מ'</w:t>
      </w:r>
      <w:r>
        <w:rPr>
          <w:rFonts w:ascii="David" w:hAnsi="David"/>
          <w:rtl/>
        </w:rPr>
        <w:t xml:space="preserve"> כי הוא מצטרף לבקשה לביטול צו קיום הצוואה. </w:t>
      </w:r>
    </w:p>
    <w:p w:rsidR="00457B60" w:rsidRDefault="00457B60" w:rsidP="00457B60">
      <w:pPr>
        <w:spacing w:after="120" w:line="360" w:lineRule="auto"/>
        <w:ind w:left="720" w:hanging="720"/>
        <w:jc w:val="both"/>
        <w:rPr>
          <w:rFonts w:ascii="David" w:hAnsi="David"/>
          <w:rtl/>
        </w:rPr>
      </w:pPr>
      <w:r>
        <w:rPr>
          <w:rFonts w:ascii="David" w:hAnsi="David"/>
          <w:rtl/>
        </w:rPr>
        <w:lastRenderedPageBreak/>
        <w:t>12.</w:t>
      </w:r>
      <w:r>
        <w:rPr>
          <w:rFonts w:ascii="David" w:hAnsi="David"/>
          <w:rtl/>
        </w:rPr>
        <w:tab/>
      </w:r>
      <w:r>
        <w:rPr>
          <w:rFonts w:ascii="David" w:hAnsi="David"/>
          <w:b/>
          <w:bCs/>
          <w:rtl/>
        </w:rPr>
        <w:t xml:space="preserve">בסופו של יום, בית משפט קמא דחה במסגרת פסק הדין את בקשת </w:t>
      </w:r>
      <w:r w:rsidR="000F5BF7">
        <w:rPr>
          <w:rFonts w:ascii="David" w:hAnsi="David"/>
          <w:b/>
          <w:bCs/>
          <w:rtl/>
        </w:rPr>
        <w:t>ס'</w:t>
      </w:r>
      <w:r>
        <w:rPr>
          <w:rFonts w:ascii="David" w:hAnsi="David"/>
          <w:b/>
          <w:bCs/>
          <w:rtl/>
        </w:rPr>
        <w:t xml:space="preserve"> לביטול צו קיום הצוואה</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13.</w:t>
      </w:r>
      <w:r>
        <w:rPr>
          <w:rFonts w:ascii="David" w:hAnsi="David"/>
          <w:rtl/>
        </w:rPr>
        <w:tab/>
        <w:t xml:space="preserve">על פסק דין קמא ערערו </w:t>
      </w:r>
      <w:r w:rsidR="000F5BF7">
        <w:rPr>
          <w:rFonts w:ascii="David" w:hAnsi="David"/>
          <w:rtl/>
        </w:rPr>
        <w:t>ס'</w:t>
      </w:r>
      <w:r>
        <w:rPr>
          <w:rFonts w:ascii="David" w:hAnsi="David"/>
          <w:rtl/>
        </w:rPr>
        <w:t xml:space="preserve"> (וליתר דיוק עזבונו באמצעות יורשיו החוקיים) ו</w:t>
      </w:r>
      <w:r w:rsidR="000F5BF7">
        <w:rPr>
          <w:rFonts w:ascii="David" w:hAnsi="David"/>
          <w:rtl/>
        </w:rPr>
        <w:t>מ'</w:t>
      </w:r>
      <w:r>
        <w:rPr>
          <w:rFonts w:ascii="David" w:hAnsi="David"/>
          <w:rtl/>
        </w:rPr>
        <w:t>.</w:t>
      </w:r>
    </w:p>
    <w:p w:rsidR="00457B60" w:rsidRDefault="00457B60" w:rsidP="00457B60">
      <w:pPr>
        <w:tabs>
          <w:tab w:val="left" w:pos="5165"/>
        </w:tabs>
        <w:spacing w:after="120" w:line="360" w:lineRule="auto"/>
        <w:ind w:left="720"/>
        <w:jc w:val="both"/>
        <w:rPr>
          <w:rFonts w:ascii="David" w:hAnsi="David"/>
          <w:rtl/>
        </w:rPr>
      </w:pPr>
      <w:r>
        <w:rPr>
          <w:rFonts w:ascii="David" w:hAnsi="David"/>
          <w:rtl/>
        </w:rPr>
        <w:t xml:space="preserve">ערעורו של </w:t>
      </w:r>
      <w:r w:rsidR="000F5BF7">
        <w:rPr>
          <w:rFonts w:ascii="David" w:hAnsi="David"/>
          <w:rtl/>
        </w:rPr>
        <w:t>מ'</w:t>
      </w:r>
      <w:r>
        <w:rPr>
          <w:rFonts w:ascii="David" w:hAnsi="David"/>
          <w:rtl/>
        </w:rPr>
        <w:t xml:space="preserve">  הינו – עמ"ש 51377-12-23;</w:t>
      </w:r>
      <w:r>
        <w:rPr>
          <w:rFonts w:ascii="David" w:hAnsi="David"/>
          <w:rtl/>
        </w:rPr>
        <w:tab/>
      </w:r>
    </w:p>
    <w:p w:rsidR="00457B60" w:rsidRDefault="00457B60" w:rsidP="00457B60">
      <w:pPr>
        <w:tabs>
          <w:tab w:val="left" w:pos="5165"/>
        </w:tabs>
        <w:spacing w:after="120" w:line="360" w:lineRule="auto"/>
        <w:ind w:left="720"/>
        <w:jc w:val="both"/>
        <w:rPr>
          <w:rFonts w:ascii="David" w:hAnsi="David"/>
          <w:rtl/>
        </w:rPr>
      </w:pPr>
      <w:r>
        <w:rPr>
          <w:rFonts w:ascii="David" w:hAnsi="David"/>
          <w:rtl/>
        </w:rPr>
        <w:t xml:space="preserve">ערעורו של </w:t>
      </w:r>
      <w:r w:rsidR="000F5BF7">
        <w:rPr>
          <w:rFonts w:ascii="David" w:hAnsi="David"/>
          <w:rtl/>
        </w:rPr>
        <w:t>ס'</w:t>
      </w:r>
      <w:r>
        <w:rPr>
          <w:rFonts w:ascii="David" w:hAnsi="David"/>
          <w:rtl/>
        </w:rPr>
        <w:t xml:space="preserve"> הינו – עמ"ש 53261-12-23;</w:t>
      </w:r>
    </w:p>
    <w:p w:rsidR="00457B60" w:rsidRDefault="00457B60" w:rsidP="00457B60">
      <w:pPr>
        <w:tabs>
          <w:tab w:val="left" w:pos="5165"/>
        </w:tabs>
        <w:spacing w:after="120" w:line="360" w:lineRule="auto"/>
        <w:ind w:left="720"/>
        <w:jc w:val="both"/>
        <w:rPr>
          <w:rFonts w:ascii="David" w:hAnsi="David"/>
          <w:rtl/>
        </w:rPr>
      </w:pPr>
      <w:r>
        <w:rPr>
          <w:rFonts w:ascii="David" w:hAnsi="David"/>
          <w:rtl/>
        </w:rPr>
        <w:t xml:space="preserve">שני הערעורים נדונו במאוחד, ואף הוגש כתב תשובה אחד לשני הערעורים על ידי </w:t>
      </w:r>
      <w:r w:rsidR="000F5BF7">
        <w:rPr>
          <w:rFonts w:ascii="David" w:hAnsi="David"/>
          <w:rtl/>
        </w:rPr>
        <w:t>ו'</w:t>
      </w:r>
      <w:r>
        <w:rPr>
          <w:rFonts w:ascii="David" w:hAnsi="David"/>
          <w:rtl/>
        </w:rPr>
        <w:t xml:space="preserve">, שהוא הדמות המרכזית בשני הערעורים. </w:t>
      </w:r>
    </w:p>
    <w:p w:rsidR="00457B60" w:rsidRDefault="00457B60" w:rsidP="00457B60">
      <w:pPr>
        <w:tabs>
          <w:tab w:val="left" w:pos="5165"/>
        </w:tabs>
        <w:spacing w:after="120" w:line="360" w:lineRule="auto"/>
        <w:jc w:val="both"/>
        <w:rPr>
          <w:rFonts w:ascii="David" w:hAnsi="David"/>
          <w:rtl/>
        </w:rPr>
      </w:pPr>
    </w:p>
    <w:p w:rsidR="00457B60" w:rsidRDefault="00457B60" w:rsidP="00457B60">
      <w:pPr>
        <w:tabs>
          <w:tab w:val="left" w:pos="5165"/>
        </w:tabs>
        <w:spacing w:after="120" w:line="360" w:lineRule="auto"/>
        <w:jc w:val="both"/>
        <w:rPr>
          <w:rFonts w:ascii="David" w:hAnsi="David"/>
          <w:b/>
          <w:bCs/>
          <w:u w:val="single"/>
          <w:rtl/>
        </w:rPr>
      </w:pPr>
      <w:r>
        <w:rPr>
          <w:rFonts w:ascii="David" w:hAnsi="David"/>
          <w:b/>
          <w:bCs/>
          <w:u w:val="single"/>
          <w:rtl/>
        </w:rPr>
        <w:t>פסק הדין קמא</w:t>
      </w:r>
    </w:p>
    <w:p w:rsidR="00457B60" w:rsidRDefault="00457B60" w:rsidP="00457B60">
      <w:pPr>
        <w:spacing w:after="120" w:line="360" w:lineRule="auto"/>
        <w:ind w:left="720" w:hanging="720"/>
        <w:jc w:val="both"/>
        <w:rPr>
          <w:rFonts w:ascii="David" w:hAnsi="David"/>
          <w:rtl/>
        </w:rPr>
      </w:pPr>
      <w:r>
        <w:rPr>
          <w:rFonts w:ascii="David" w:hAnsi="David"/>
          <w:rtl/>
        </w:rPr>
        <w:t>14.</w:t>
      </w:r>
      <w:r>
        <w:rPr>
          <w:rFonts w:ascii="David" w:hAnsi="David"/>
          <w:rtl/>
        </w:rPr>
        <w:tab/>
        <w:t>בפתח הכרעתו ציין בית משפט קמא, כי הגם ש"</w:t>
      </w:r>
      <w:r>
        <w:rPr>
          <w:rFonts w:ascii="David" w:hAnsi="David"/>
          <w:b/>
          <w:bCs/>
          <w:rtl/>
        </w:rPr>
        <w:t xml:space="preserve">הצדדים טענו בהרחבה לעניין הסכם חלוקת העיזבון שנחתם ביניהם: </w:t>
      </w:r>
      <w:r w:rsidR="000F5BF7">
        <w:rPr>
          <w:rFonts w:ascii="David" w:hAnsi="David"/>
          <w:b/>
          <w:bCs/>
          <w:rtl/>
        </w:rPr>
        <w:t>ס'</w:t>
      </w:r>
      <w:r>
        <w:rPr>
          <w:rFonts w:ascii="David" w:hAnsi="David"/>
          <w:b/>
          <w:bCs/>
          <w:rtl/>
        </w:rPr>
        <w:t>-לנסיבות עריכתו, ההתנהלות שקדמה לו, התנהלות הצדדים לאחריו; ו</w:t>
      </w:r>
      <w:r w:rsidR="000F5BF7">
        <w:rPr>
          <w:rFonts w:ascii="David" w:hAnsi="David"/>
          <w:b/>
          <w:bCs/>
          <w:rtl/>
        </w:rPr>
        <w:t>ו'</w:t>
      </w:r>
      <w:r>
        <w:rPr>
          <w:rFonts w:ascii="David" w:hAnsi="David"/>
          <w:b/>
          <w:bCs/>
          <w:rtl/>
        </w:rPr>
        <w:t xml:space="preserve"> - לבטלותו. ועם זאת, ההליך שבפני הינו הליך שעניינו ביטול צו קיום צוואה – ובכך יתמקד פס"ד זה" </w:t>
      </w:r>
      <w:r>
        <w:rPr>
          <w:rFonts w:ascii="David" w:hAnsi="David"/>
          <w:rtl/>
        </w:rPr>
        <w:t>(סעיף 74 לפסק הדין).</w:t>
      </w:r>
    </w:p>
    <w:p w:rsidR="00457B60" w:rsidRDefault="00457B60" w:rsidP="00457B60">
      <w:pPr>
        <w:spacing w:after="120" w:line="360" w:lineRule="auto"/>
        <w:ind w:left="720" w:hanging="720"/>
        <w:jc w:val="both"/>
        <w:rPr>
          <w:rFonts w:ascii="David" w:hAnsi="David"/>
          <w:rtl/>
        </w:rPr>
      </w:pPr>
      <w:r>
        <w:rPr>
          <w:rFonts w:ascii="David" w:hAnsi="David"/>
          <w:rtl/>
        </w:rPr>
        <w:tab/>
        <w:t>היינו בחינת הצוואה שבמחלוקת כשלעצמה מבחינת כשרותה או פסלותה, תוך התעלמות מהסכם החלוקה והשלכותיו על יחסי הצדדים.</w:t>
      </w:r>
    </w:p>
    <w:p w:rsidR="00457B60" w:rsidRDefault="00457B60" w:rsidP="00457B60">
      <w:pPr>
        <w:spacing w:after="120" w:line="360" w:lineRule="auto"/>
        <w:ind w:left="720" w:hanging="720"/>
        <w:jc w:val="both"/>
        <w:rPr>
          <w:rFonts w:ascii="David" w:hAnsi="David"/>
          <w:rtl/>
        </w:rPr>
      </w:pPr>
      <w:r>
        <w:rPr>
          <w:rFonts w:ascii="David" w:hAnsi="David"/>
          <w:rtl/>
        </w:rPr>
        <w:tab/>
        <w:t>לשם כך פירט בית משפט קמא בפסק הדין את טענות הצדדים לענין כשרות/פסלות הצוואה, והכריע בהן.</w:t>
      </w:r>
    </w:p>
    <w:p w:rsidR="00457B60" w:rsidRDefault="00457B60" w:rsidP="00457B60">
      <w:pPr>
        <w:spacing w:after="120" w:line="360" w:lineRule="auto"/>
        <w:ind w:left="720" w:hanging="720"/>
        <w:jc w:val="both"/>
        <w:rPr>
          <w:rFonts w:ascii="David" w:hAnsi="David"/>
          <w:rtl/>
        </w:rPr>
      </w:pPr>
      <w:r>
        <w:rPr>
          <w:rFonts w:ascii="David" w:hAnsi="David"/>
          <w:rtl/>
        </w:rPr>
        <w:t>15.</w:t>
      </w:r>
      <w:r>
        <w:rPr>
          <w:rFonts w:ascii="David" w:hAnsi="David"/>
          <w:rtl/>
        </w:rPr>
        <w:tab/>
      </w:r>
      <w:r>
        <w:rPr>
          <w:rFonts w:ascii="David" w:hAnsi="David"/>
          <w:b/>
          <w:bCs/>
          <w:u w:val="single"/>
          <w:rtl/>
        </w:rPr>
        <w:t>דחיית טענת שיהוי</w:t>
      </w:r>
      <w:r>
        <w:rPr>
          <w:rFonts w:ascii="David" w:hAnsi="David"/>
          <w:rtl/>
        </w:rPr>
        <w:t xml:space="preserve"> – בפסק הדין (סעיפים 96-99) דחה בית משפט קמא את טענת </w:t>
      </w:r>
      <w:r w:rsidR="000F5BF7">
        <w:rPr>
          <w:rFonts w:ascii="David" w:hAnsi="David"/>
          <w:rtl/>
        </w:rPr>
        <w:t>ו'</w:t>
      </w:r>
      <w:r>
        <w:rPr>
          <w:rFonts w:ascii="David" w:hAnsi="David"/>
          <w:rtl/>
        </w:rPr>
        <w:t xml:space="preserve"> לשיהוי בהגשת הבקשה לביטול דו קיום הצוואה. </w:t>
      </w:r>
    </w:p>
    <w:p w:rsidR="00457B60" w:rsidRDefault="00457B60" w:rsidP="00457B60">
      <w:pPr>
        <w:spacing w:after="120" w:line="360" w:lineRule="auto"/>
        <w:ind w:left="720" w:hanging="720"/>
        <w:jc w:val="both"/>
        <w:rPr>
          <w:rFonts w:ascii="David" w:hAnsi="David"/>
          <w:rtl/>
        </w:rPr>
      </w:pPr>
      <w:r>
        <w:rPr>
          <w:rFonts w:ascii="David" w:hAnsi="David"/>
          <w:rtl/>
        </w:rPr>
        <w:tab/>
      </w:r>
      <w:r>
        <w:rPr>
          <w:rFonts w:ascii="David" w:hAnsi="David"/>
          <w:u w:val="single"/>
          <w:rtl/>
        </w:rPr>
        <w:t>בית משפט קמא דחה את טענת השיהוי שטענו למעשה שני הצדדים, האחד כלפי רעהו, כדלקמן</w:t>
      </w:r>
      <w:r>
        <w:rPr>
          <w:rFonts w:ascii="David" w:hAnsi="David"/>
          <w:rtl/>
        </w:rPr>
        <w:t>:</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"מכל האמור, ועל אף הקושי שבשיהוי הניכר בהגשת הבקשה - מצאתי כי יש לאפשר דיון בה.  סבורני, כי בעצם הגשת הבקשה למתן צו קיום צוואה לערכאה שונה מזו שנתנה וביטלה את צו הירושה שניתן בעניינו של המנוח- לא הובאו בפני הרשם לענייני ירושה עובדות חיוניות ובהן: קיומו של ערעור תלוי ועומד בעניין ביטול צו ירושה, הסכסוך בין הצדדים, וטענות אודות חלוקת העיזבון לכאורה בפועל (טרם ניתן צו קיום ושלא בהתאם להוראות הצוואה).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מקום בו לא הוכחה פגיעה מהותית במשיב/ים באם יבוטל הצו – מצאתי כי יש לדון בטענות המבקש </w:t>
      </w:r>
      <w:r w:rsidR="000F5BF7">
        <w:rPr>
          <w:rFonts w:ascii="David" w:hAnsi="David"/>
          <w:b/>
          <w:bCs/>
          <w:rtl/>
        </w:rPr>
        <w:t>ס'</w:t>
      </w:r>
      <w:r>
        <w:rPr>
          <w:rFonts w:ascii="David" w:hAnsi="David"/>
          <w:b/>
          <w:bCs/>
          <w:rtl/>
        </w:rPr>
        <w:t xml:space="preserve"> בעניין הצוואה.</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זאת ועוד, הטענות שהועלו על ידי </w:t>
      </w:r>
      <w:r w:rsidR="000F5BF7">
        <w:rPr>
          <w:rFonts w:ascii="David" w:hAnsi="David"/>
          <w:b/>
          <w:bCs/>
          <w:rtl/>
        </w:rPr>
        <w:t>ס'</w:t>
      </w:r>
      <w:r>
        <w:rPr>
          <w:rFonts w:ascii="David" w:hAnsi="David"/>
          <w:b/>
          <w:bCs/>
          <w:rtl/>
        </w:rPr>
        <w:t xml:space="preserve"> הינן מהותיות  -  טענות בדבר זיוף צוואה, צוואה פגומה ונטילת חלק בעריכת הצוואה - ויש לבחון אותן לעומקן. </w:t>
      </w:r>
    </w:p>
    <w:p w:rsidR="00457B60" w:rsidRDefault="00457B60" w:rsidP="00457B60">
      <w:pPr>
        <w:spacing w:after="120" w:line="360" w:lineRule="auto"/>
        <w:ind w:left="1440" w:right="709"/>
        <w:jc w:val="both"/>
        <w:rPr>
          <w:rFonts w:ascii="David" w:hAnsi="David"/>
          <w:b/>
          <w:bCs/>
          <w:rtl/>
        </w:rPr>
      </w:pPr>
      <w:r>
        <w:rPr>
          <w:rFonts w:ascii="David" w:hAnsi="David"/>
          <w:b/>
          <w:bCs/>
          <w:rtl/>
        </w:rPr>
        <w:lastRenderedPageBreak/>
        <w:t xml:space="preserve">משכך, מצאתי לדון בגופה של ההתנגדות, ולבחון טענות המבקש בדבר אמיתות הצוואה, ורצון המנוח  - לגופן" </w:t>
      </w:r>
      <w:r>
        <w:rPr>
          <w:rFonts w:ascii="David" w:hAnsi="David"/>
          <w:rtl/>
        </w:rPr>
        <w:t>(סעיף 99 לפסק הדין)</w:t>
      </w:r>
      <w:r>
        <w:rPr>
          <w:rFonts w:ascii="David" w:hAnsi="David"/>
          <w:b/>
          <w:bCs/>
          <w:rtl/>
        </w:rPr>
        <w:t>.</w:t>
      </w:r>
    </w:p>
    <w:p w:rsidR="00457B60" w:rsidRDefault="00457B60" w:rsidP="00457B60">
      <w:pPr>
        <w:spacing w:after="120" w:line="360" w:lineRule="auto"/>
        <w:ind w:left="720" w:hanging="720"/>
        <w:jc w:val="both"/>
        <w:rPr>
          <w:rFonts w:ascii="David" w:hAnsi="David"/>
          <w:rtl/>
        </w:rPr>
      </w:pPr>
      <w:r>
        <w:rPr>
          <w:rFonts w:ascii="David" w:hAnsi="David"/>
          <w:rtl/>
        </w:rPr>
        <w:t>16.</w:t>
      </w:r>
      <w:r>
        <w:rPr>
          <w:rFonts w:ascii="David" w:hAnsi="David"/>
          <w:b/>
          <w:bCs/>
          <w:rtl/>
        </w:rPr>
        <w:tab/>
      </w:r>
      <w:r>
        <w:rPr>
          <w:rFonts w:ascii="David" w:hAnsi="David"/>
          <w:b/>
          <w:bCs/>
          <w:u w:val="single"/>
          <w:rtl/>
        </w:rPr>
        <w:t>דחיית טענת זיוף הצוואה שבמחלוקת</w:t>
      </w:r>
      <w:r>
        <w:rPr>
          <w:rFonts w:ascii="David" w:hAnsi="David"/>
          <w:rtl/>
        </w:rPr>
        <w:t xml:space="preserve"> – בפסק הדין (סעיף 100-107) בית משפט קמא דחה את טענת זיוף הצוואה. היות שעל רכיב זה בפסק הדין לא משיגים המערערים, לא ארחיב בנדון. </w:t>
      </w:r>
    </w:p>
    <w:p w:rsidR="00457B60" w:rsidRDefault="00457B60" w:rsidP="00457B60">
      <w:pPr>
        <w:spacing w:after="120" w:line="360" w:lineRule="auto"/>
        <w:ind w:left="720" w:hanging="720"/>
        <w:jc w:val="both"/>
        <w:rPr>
          <w:rFonts w:ascii="David" w:hAnsi="David"/>
          <w:rtl/>
        </w:rPr>
      </w:pPr>
      <w:r>
        <w:rPr>
          <w:rFonts w:ascii="David" w:hAnsi="David"/>
          <w:rtl/>
        </w:rPr>
        <w:t>17.</w:t>
      </w:r>
      <w:r>
        <w:rPr>
          <w:rFonts w:ascii="David" w:hAnsi="David"/>
          <w:rtl/>
        </w:rPr>
        <w:tab/>
      </w:r>
      <w:r>
        <w:rPr>
          <w:rFonts w:ascii="David" w:hAnsi="David"/>
          <w:b/>
          <w:bCs/>
          <w:u w:val="single"/>
          <w:rtl/>
        </w:rPr>
        <w:t>דחיית טענת פסלות הצוואה שבמחלוקת מחמת פגמים צורניים</w:t>
      </w:r>
      <w:r>
        <w:rPr>
          <w:rFonts w:ascii="David" w:hAnsi="David"/>
          <w:rtl/>
        </w:rPr>
        <w:t xml:space="preserve"> – בפסק הדין (סעיפים 108-113) דחה בית משפט קמא טענות לפסלות הצוואה מחמת פגמים צורניים כדלקמן:</w:t>
      </w:r>
    </w:p>
    <w:p w:rsidR="00457B60" w:rsidRDefault="00457B60" w:rsidP="00457B60">
      <w:pPr>
        <w:spacing w:after="120" w:line="360" w:lineRule="auto"/>
        <w:ind w:left="720" w:hanging="720"/>
        <w:jc w:val="both"/>
        <w:rPr>
          <w:rFonts w:ascii="David" w:hAnsi="David"/>
          <w:rtl/>
        </w:rPr>
      </w:pPr>
      <w:r>
        <w:rPr>
          <w:rFonts w:ascii="David" w:hAnsi="David"/>
          <w:rtl/>
        </w:rPr>
        <w:tab/>
        <w:t>א.</w:t>
      </w:r>
      <w:r>
        <w:rPr>
          <w:rFonts w:ascii="David" w:hAnsi="David"/>
          <w:rtl/>
        </w:rPr>
        <w:tab/>
        <w:t>עדי הקיום לא חתמו עליה באותו מועד;</w:t>
      </w:r>
    </w:p>
    <w:p w:rsidR="00457B60" w:rsidRDefault="00457B60" w:rsidP="00457B60">
      <w:pPr>
        <w:spacing w:after="120" w:line="360" w:lineRule="auto"/>
        <w:ind w:left="720" w:hanging="720"/>
        <w:jc w:val="both"/>
        <w:rPr>
          <w:rFonts w:ascii="David" w:hAnsi="David"/>
          <w:rtl/>
        </w:rPr>
      </w:pPr>
      <w:r>
        <w:rPr>
          <w:rFonts w:ascii="David" w:hAnsi="David"/>
          <w:rtl/>
        </w:rPr>
        <w:tab/>
        <w:t>ב.</w:t>
      </w:r>
      <w:r>
        <w:rPr>
          <w:rFonts w:ascii="David" w:hAnsi="David"/>
          <w:rtl/>
        </w:rPr>
        <w:tab/>
        <w:t xml:space="preserve">התאריך הרשום בצוואה אינו תאריך חתימתה, אלא תאריך עריכתה. </w:t>
      </w:r>
    </w:p>
    <w:p w:rsidR="00457B60" w:rsidRDefault="00457B60" w:rsidP="00457B60">
      <w:pPr>
        <w:spacing w:after="120" w:line="360" w:lineRule="auto"/>
        <w:ind w:left="720" w:right="709" w:hanging="720"/>
        <w:jc w:val="both"/>
        <w:rPr>
          <w:rFonts w:ascii="David" w:hAnsi="David"/>
          <w:rtl/>
        </w:rPr>
      </w:pPr>
      <w:r>
        <w:rPr>
          <w:rFonts w:ascii="David" w:hAnsi="David"/>
          <w:rtl/>
        </w:rPr>
        <w:tab/>
      </w:r>
      <w:r>
        <w:rPr>
          <w:rFonts w:ascii="David" w:hAnsi="David"/>
          <w:u w:val="single"/>
          <w:rtl/>
        </w:rPr>
        <w:t>על כך ציין בית משפט קמא כדלקמן</w:t>
      </w:r>
      <w:r>
        <w:rPr>
          <w:rFonts w:ascii="David" w:hAnsi="David"/>
          <w:rtl/>
        </w:rPr>
        <w:t>:</w:t>
      </w:r>
    </w:p>
    <w:p w:rsidR="00457B60" w:rsidRDefault="00457B60" w:rsidP="00457B60">
      <w:pPr>
        <w:spacing w:after="120" w:line="360" w:lineRule="auto"/>
        <w:ind w:left="1440" w:right="709"/>
        <w:jc w:val="both"/>
        <w:rPr>
          <w:rFonts w:ascii="David" w:hAnsi="David"/>
          <w:b/>
          <w:bCs/>
          <w:rtl/>
        </w:rPr>
      </w:pPr>
      <w:r>
        <w:rPr>
          <w:rFonts w:ascii="David" w:hAnsi="David"/>
          <w:b/>
          <w:bCs/>
          <w:rtl/>
        </w:rPr>
        <w:t>"</w:t>
      </w:r>
      <w:r>
        <w:rPr>
          <w:rFonts w:ascii="David" w:hAnsi="David"/>
          <w:rtl/>
        </w:rPr>
        <w:t xml:space="preserve">... </w:t>
      </w:r>
      <w:r>
        <w:rPr>
          <w:rFonts w:ascii="David" w:hAnsi="David"/>
          <w:b/>
          <w:bCs/>
          <w:rtl/>
        </w:rPr>
        <w:t xml:space="preserve">לאחר שעיינתי ובחנתי את חומר הראיות שהונח בפני מצאתי כי טענות </w:t>
      </w:r>
      <w:r w:rsidR="000F5BF7">
        <w:rPr>
          <w:rFonts w:ascii="David" w:hAnsi="David"/>
          <w:b/>
          <w:bCs/>
          <w:rtl/>
        </w:rPr>
        <w:t>ס'</w:t>
      </w:r>
      <w:r>
        <w:rPr>
          <w:rFonts w:ascii="David" w:hAnsi="David"/>
          <w:b/>
          <w:bCs/>
          <w:rtl/>
        </w:rPr>
        <w:t>, לעניין קיומם של הפגמים כמפורט לעיל הינן  בגדר השערות בלבד, אינן נתמכות בכל ראיה ו/או בעדויות שנשמעו בפני, ואף לא מצאתי כי הינן בבחינת "מסקנה מתבקשת" מהעדויות שנשמעו...</w:t>
      </w:r>
    </w:p>
    <w:p w:rsidR="00457B60" w:rsidRDefault="00457B60" w:rsidP="00457B60">
      <w:pPr>
        <w:spacing w:after="120" w:line="360" w:lineRule="auto"/>
        <w:ind w:left="1440" w:right="709"/>
        <w:jc w:val="both"/>
        <w:rPr>
          <w:rFonts w:ascii="David" w:hAnsi="David"/>
          <w:b/>
          <w:bCs/>
          <w:rtl/>
        </w:rPr>
      </w:pPr>
      <w:r>
        <w:rPr>
          <w:rFonts w:ascii="David" w:hAnsi="David"/>
          <w:b/>
          <w:bCs/>
          <w:rtl/>
        </w:rPr>
        <w:t>...חתימת העדים לצוואה במועדים שונים – כמפורט לעיל, העד מתא הכחיש בביהמ"ש את חתימתו על גבי צוואת אוגוסט 81, ועדותו לפיה בעת שחתם על הצוואה כבר התנוססה עליה חתימת עד הקיום הנוסף, התייחסה לצוואת יולי 81, שכלל אינה נידונה בהליך זה.</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למעשה, לא נשמעה כלל גרסתו של מר מתא באשר לנסיבות חתימת צוואת אוגוסט 81, כך שלא ניתן להסיק כי העדים לצוואה זו חתמו בנפרד.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יוער כי כמפורט לעיל, בעדותו מיום 8.1.18 העיד מר מתא כי הצוואה/חלקה נכתבה בנוכחותו  ונחתמה ,על ידינו'  - קרי, משתמע מעדותו כי אף המנוח חתם באותו מעמד על הצוואה, וגם מטעם זה תמוהה טענתו לפיה חתימתו של העד הנוסף כבר התנוססה על הצוואה.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יתר על כן – גם אם היה ממש בטענת </w:t>
      </w:r>
      <w:r w:rsidR="000F5BF7">
        <w:rPr>
          <w:rFonts w:ascii="David" w:hAnsi="David"/>
          <w:b/>
          <w:bCs/>
          <w:rtl/>
        </w:rPr>
        <w:t>ס'</w:t>
      </w:r>
      <w:r>
        <w:rPr>
          <w:rFonts w:ascii="David" w:hAnsi="David"/>
          <w:b/>
          <w:bCs/>
          <w:rtl/>
        </w:rPr>
        <w:t xml:space="preserve"> בדבר פגם שנפל בחתימת מי מהעדים – הרי שמדובר בפגם הניתן לקיום עפ"י סע' 25(א) לחוק הירושה. כבר נקבע בפסיקה, כי אין מניעה כי העדים יחתמו במועדים שונים, ככל שהמנוח מצהיר בפני כל עד שזו צוואתו, וככל שחתם על הצוואה מאשר חתימתו (ר' ע"א 70/88 פז נ' אלון, פ"ד מד (3) 32; ת"ע (חי') 45948-12-17 י.א. נ' ר.א. [פורסם במאגר "נבו"] (18.10.20)].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בהינתן עדות מר מתא מיום 8.1.2018, כי שוכנע על ידי המנוח לחתום כעד על הצוואה, ואף ידע על תוכנה, הרי לו אכן היה מוכח כי נפל פגם, ממילא לא היתה מניעה לתקנו. </w:t>
      </w:r>
    </w:p>
    <w:p w:rsidR="00457B60" w:rsidRDefault="00457B60" w:rsidP="00457B60">
      <w:pPr>
        <w:spacing w:after="120" w:line="360" w:lineRule="auto"/>
        <w:ind w:left="1440" w:right="709"/>
        <w:jc w:val="both"/>
        <w:rPr>
          <w:rFonts w:ascii="David" w:hAnsi="David"/>
          <w:b/>
          <w:bCs/>
          <w:rtl/>
        </w:rPr>
      </w:pPr>
      <w:r>
        <w:rPr>
          <w:rFonts w:ascii="David" w:hAnsi="David"/>
          <w:b/>
          <w:bCs/>
          <w:rtl/>
        </w:rPr>
        <w:lastRenderedPageBreak/>
        <w:t xml:space="preserve">...תאריך הצוואה – אין חולק כי צוואת אוגוסט 81 נושאת על גביה תאריך, ולכאורה בכך קוימו רכיבי היסוד בצוואה, בהינתן כי הצוואה הינה בכתב והובאה בפני שני עדים (סע 25(ב) לחוק). </w:t>
      </w:r>
    </w:p>
    <w:p w:rsidR="00457B60" w:rsidRDefault="00457B60" w:rsidP="00457B60">
      <w:pPr>
        <w:spacing w:after="120" w:line="360" w:lineRule="auto"/>
        <w:ind w:left="1440" w:right="709"/>
        <w:jc w:val="both"/>
        <w:rPr>
          <w:rFonts w:ascii="David" w:hAnsi="David"/>
          <w:b/>
          <w:bCs/>
          <w:rtl/>
        </w:rPr>
      </w:pPr>
      <w:r>
        <w:rPr>
          <w:rFonts w:ascii="David" w:hAnsi="David"/>
          <w:b/>
          <w:bCs/>
          <w:rtl/>
        </w:rPr>
        <w:t>כ</w:t>
      </w:r>
      <w:r w:rsidR="000F5BF7">
        <w:rPr>
          <w:rFonts w:ascii="David" w:hAnsi="David"/>
          <w:b/>
          <w:bCs/>
          <w:rtl/>
        </w:rPr>
        <w:t xml:space="preserve">ב' הרשם הבכיר (בדימוס) מר </w:t>
      </w:r>
      <w:r w:rsidR="000F5BF7">
        <w:rPr>
          <w:rFonts w:ascii="David" w:hAnsi="David" w:hint="cs"/>
          <w:b/>
          <w:bCs/>
          <w:rtl/>
        </w:rPr>
        <w:t>ר'</w:t>
      </w:r>
      <w:r>
        <w:rPr>
          <w:rFonts w:ascii="David" w:hAnsi="David"/>
          <w:b/>
          <w:bCs/>
          <w:rtl/>
        </w:rPr>
        <w:t xml:space="preserve"> העיד כי רשם על גבי הצוואה את תאריך עריכתה והיא נמסרה ל</w:t>
      </w:r>
      <w:r w:rsidR="000F5BF7">
        <w:rPr>
          <w:rFonts w:ascii="David" w:hAnsi="David"/>
          <w:b/>
          <w:bCs/>
          <w:rtl/>
        </w:rPr>
        <w:t>ו'</w:t>
      </w:r>
      <w:r>
        <w:rPr>
          <w:rFonts w:ascii="David" w:hAnsi="David"/>
          <w:b/>
          <w:bCs/>
          <w:rtl/>
        </w:rPr>
        <w:t xml:space="preserve">, אך לא ידע להעיד מתי נחתמה. בעדות זו בלבד, אין משום ראיה כי צוואת אוגוסט 81 לא נחתמה בו ביום.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כאמור, העד מתא הכחיש כי חתם כעד קיום על צוואת אוגוסט 81 ולמעשה לא הציג גרסה באשר לנסיבות חתימתה, ועד הקיום הנוסף הלך לעולמו.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ועוד - ע"פ הפסיקה הנוהגת בהתייחס לפגם בתאריך (לרבות חוסר בתאריך) הינו פגם הניתן לריפוי בהתאם לסע' 25(א) לחוק הירושה [ראה ש. שוחט, מ. גולדברג, י. פלומין,  דיני ירושה ועזבון, מהדורה שישית,  בעמ' 90], כך שגם אם היה מוכח - לא היתה מניעה לתקנו.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 על כן, לא מצאתי כי הוכח, כלל ועיקר, קיומו של פגם, שיש בו כדי להפוך את נטל הראיה ולהעבירו לכתפי </w:t>
      </w:r>
      <w:r w:rsidR="000F5BF7">
        <w:rPr>
          <w:rFonts w:ascii="David" w:hAnsi="David"/>
          <w:b/>
          <w:bCs/>
          <w:rtl/>
        </w:rPr>
        <w:t>ו'</w:t>
      </w:r>
      <w:r>
        <w:rPr>
          <w:rFonts w:ascii="David" w:hAnsi="David"/>
          <w:b/>
          <w:bCs/>
          <w:rtl/>
        </w:rPr>
        <w:t>.</w:t>
      </w:r>
    </w:p>
    <w:p w:rsidR="00457B60" w:rsidRDefault="00457B60" w:rsidP="00457B60">
      <w:pPr>
        <w:spacing w:after="120" w:line="360" w:lineRule="auto"/>
        <w:ind w:left="1440" w:right="709"/>
        <w:jc w:val="both"/>
        <w:rPr>
          <w:rFonts w:ascii="David" w:hAnsi="David"/>
          <w:rtl/>
        </w:rPr>
      </w:pPr>
      <w:r>
        <w:rPr>
          <w:rFonts w:ascii="David" w:hAnsi="David"/>
          <w:b/>
          <w:bCs/>
          <w:rtl/>
        </w:rPr>
        <w:t xml:space="preserve">והנטל להוכיח כי מצבו הרפואי/ קוגניטיבי של המנוח לא אפשר עריכת הצוואה ו/או כי היה נתון להשפעה בלתי הוגנת ו/או כי </w:t>
      </w:r>
      <w:r w:rsidR="000F5BF7">
        <w:rPr>
          <w:rFonts w:ascii="David" w:hAnsi="David"/>
          <w:b/>
          <w:bCs/>
          <w:rtl/>
        </w:rPr>
        <w:t>ו'</w:t>
      </w:r>
      <w:r>
        <w:rPr>
          <w:rFonts w:ascii="David" w:hAnsi="David"/>
          <w:b/>
          <w:bCs/>
          <w:rtl/>
        </w:rPr>
        <w:t xml:space="preserve"> היה מעורב בעריכת הצוואה – מוטל על כתפי </w:t>
      </w:r>
      <w:r w:rsidR="000F5BF7">
        <w:rPr>
          <w:rFonts w:ascii="David" w:hAnsi="David"/>
          <w:b/>
          <w:bCs/>
          <w:rtl/>
        </w:rPr>
        <w:t>ס'</w:t>
      </w:r>
      <w:r>
        <w:rPr>
          <w:rFonts w:ascii="David" w:hAnsi="David"/>
          <w:b/>
          <w:bCs/>
          <w:rtl/>
        </w:rPr>
        <w:t>"</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18.</w:t>
      </w:r>
      <w:r>
        <w:rPr>
          <w:rFonts w:ascii="David" w:hAnsi="David"/>
          <w:rtl/>
        </w:rPr>
        <w:tab/>
      </w:r>
      <w:r>
        <w:rPr>
          <w:rFonts w:ascii="David" w:hAnsi="David"/>
          <w:b/>
          <w:bCs/>
          <w:u w:val="single"/>
          <w:rtl/>
        </w:rPr>
        <w:t>דחיית טענה בדבר פגם בכשרות המנוח לצוות</w:t>
      </w:r>
      <w:r>
        <w:rPr>
          <w:rFonts w:ascii="David" w:hAnsi="David"/>
          <w:rtl/>
        </w:rPr>
        <w:t xml:space="preserve"> – בפסק הדין (סעיפים 114-120) דחה בית משפט קמא את הטענה כי בעת החתימה על הצוואה שבמחלוקת לא היה המנוח כשיר לחתום על צוואה. </w:t>
      </w:r>
    </w:p>
    <w:p w:rsidR="00457B60" w:rsidRDefault="00457B60" w:rsidP="00457B60">
      <w:pPr>
        <w:spacing w:after="120" w:line="360" w:lineRule="auto"/>
        <w:ind w:left="720" w:hanging="720"/>
        <w:jc w:val="both"/>
        <w:rPr>
          <w:rFonts w:ascii="David" w:hAnsi="David"/>
          <w:rtl/>
        </w:rPr>
      </w:pPr>
      <w:r>
        <w:rPr>
          <w:rFonts w:ascii="David" w:hAnsi="David"/>
          <w:rtl/>
        </w:rPr>
        <w:tab/>
        <w:t>בית משפט קמא נתן דעתו, כי דעתו של המצווה חייבת להיות צלולה ובלתי משובשת בשלושה: מודעות המצווה לעובדה שהוא עורך צוואה, להיקף רכושו ויורשיו ולתוצאות הצוואה על היורשים.</w:t>
      </w:r>
    </w:p>
    <w:p w:rsidR="00457B60" w:rsidRDefault="00457B60" w:rsidP="00457B60">
      <w:pPr>
        <w:spacing w:after="120" w:line="360" w:lineRule="auto"/>
        <w:ind w:left="720" w:hanging="720"/>
        <w:jc w:val="both"/>
        <w:rPr>
          <w:rFonts w:ascii="David" w:hAnsi="David"/>
          <w:rtl/>
        </w:rPr>
      </w:pPr>
      <w:r>
        <w:rPr>
          <w:rFonts w:ascii="David" w:hAnsi="David"/>
          <w:rtl/>
        </w:rPr>
        <w:tab/>
        <w:t>בית משפט קמא גם ציין כי מידת ההוכחה הנדרשת כדי לקבוע כי המגבלה ממנה סובל המנוח הינה כזו אשר עלולה לשלול את כשרותו לצוות, אינה עניין של מה בכך, ואין די בהעלאת ספקות גרידא.</w:t>
      </w:r>
    </w:p>
    <w:p w:rsidR="00457B60" w:rsidRDefault="00457B60" w:rsidP="00457B60">
      <w:pPr>
        <w:spacing w:after="120" w:line="360" w:lineRule="auto"/>
        <w:ind w:left="720" w:hanging="720"/>
        <w:jc w:val="both"/>
        <w:rPr>
          <w:rFonts w:ascii="David" w:hAnsi="David"/>
          <w:rtl/>
        </w:rPr>
      </w:pPr>
      <w:r>
        <w:rPr>
          <w:rFonts w:ascii="David" w:hAnsi="David"/>
          <w:rtl/>
        </w:rPr>
        <w:tab/>
        <w:t xml:space="preserve">כן הדגיש בית משפט קמא כי מצבו הקוגניטיבי של המצווה בעת החתימה על הצוואה הינו עניין שברפואה, ועל מנת להוכיח עניין שברפואה יש להביא עדות רפואית או עדות אחרת.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במקרה דנן, ולמרות שניתן צו לבקשת </w:t>
      </w:r>
      <w:r w:rsidR="000F5BF7">
        <w:rPr>
          <w:rFonts w:ascii="David" w:hAnsi="David"/>
          <w:rtl/>
        </w:rPr>
        <w:t>ס'</w:t>
      </w:r>
      <w:r>
        <w:rPr>
          <w:rFonts w:ascii="David" w:hAnsi="David"/>
          <w:rtl/>
        </w:rPr>
        <w:t xml:space="preserve"> לקבלת תיקו הרפואי של המנוח, לא הוגשו כל מסמכים על ידי </w:t>
      </w:r>
      <w:r w:rsidR="000F5BF7">
        <w:rPr>
          <w:rFonts w:ascii="David" w:hAnsi="David"/>
          <w:rtl/>
        </w:rPr>
        <w:t>ס'</w:t>
      </w:r>
      <w:r>
        <w:rPr>
          <w:rFonts w:ascii="David" w:hAnsi="David"/>
          <w:rtl/>
        </w:rPr>
        <w:t xml:space="preserve"> המלמדים על פגם בכשרותו של המנוח בעת חתימת הצוואה שבמחלוקת, ואף לא הוגשה על ידי </w:t>
      </w:r>
      <w:r w:rsidR="000F5BF7">
        <w:rPr>
          <w:rFonts w:ascii="David" w:hAnsi="David"/>
          <w:rtl/>
        </w:rPr>
        <w:t>ס'</w:t>
      </w:r>
      <w:r>
        <w:rPr>
          <w:rFonts w:ascii="David" w:hAnsi="David"/>
          <w:rtl/>
        </w:rPr>
        <w:t xml:space="preserve"> כל בקשה למינוי מומחה רפואי לבחינת כשרותו של המנוח בעת החתימה על הצוואה שבמחלוקת.  </w:t>
      </w:r>
    </w:p>
    <w:p w:rsidR="00457B60" w:rsidRDefault="00457B60" w:rsidP="000F5BF7">
      <w:pPr>
        <w:spacing w:after="120" w:line="360" w:lineRule="auto"/>
        <w:ind w:left="720" w:hanging="720"/>
        <w:jc w:val="both"/>
        <w:rPr>
          <w:rFonts w:ascii="David" w:hAnsi="David"/>
          <w:rtl/>
        </w:rPr>
      </w:pPr>
      <w:r>
        <w:rPr>
          <w:rFonts w:ascii="David" w:hAnsi="David"/>
          <w:rtl/>
        </w:rPr>
        <w:tab/>
        <w:t xml:space="preserve">מעבר לכך מעדויות שנשמעו בפניו, לרבות עדותו של הרשם הבכיר בדימוס </w:t>
      </w:r>
      <w:r w:rsidR="000F5BF7">
        <w:rPr>
          <w:rFonts w:ascii="David" w:hAnsi="David" w:hint="cs"/>
          <w:rtl/>
        </w:rPr>
        <w:t>ר'</w:t>
      </w:r>
      <w:r>
        <w:rPr>
          <w:rFonts w:ascii="David" w:hAnsi="David"/>
          <w:rtl/>
        </w:rPr>
        <w:t xml:space="preserve"> (להלן: </w:t>
      </w:r>
      <w:r>
        <w:rPr>
          <w:rFonts w:ascii="David" w:hAnsi="David"/>
          <w:b/>
          <w:bCs/>
          <w:rtl/>
        </w:rPr>
        <w:t>"</w:t>
      </w:r>
      <w:r w:rsidR="000F5BF7">
        <w:rPr>
          <w:rFonts w:ascii="David" w:hAnsi="David" w:hint="cs"/>
          <w:b/>
          <w:bCs/>
          <w:rtl/>
        </w:rPr>
        <w:t xml:space="preserve">ר' </w:t>
      </w:r>
      <w:r>
        <w:rPr>
          <w:rFonts w:ascii="David" w:hAnsi="David"/>
          <w:b/>
          <w:bCs/>
          <w:rtl/>
        </w:rPr>
        <w:t>"</w:t>
      </w:r>
      <w:r>
        <w:rPr>
          <w:rFonts w:ascii="David" w:hAnsi="David"/>
          <w:rtl/>
        </w:rPr>
        <w:t xml:space="preserve">), שערך הצוואה השלישית לאחר שיחה עם המנוח, לא נראה כי נפל פגם בכשרותו של המנוח, ולא נמצא  ביסוס לכך. </w:t>
      </w:r>
    </w:p>
    <w:p w:rsidR="00457B60" w:rsidRDefault="00457B60" w:rsidP="00457B60">
      <w:pPr>
        <w:spacing w:after="120" w:line="360" w:lineRule="auto"/>
        <w:ind w:left="720" w:hanging="720"/>
        <w:jc w:val="both"/>
        <w:rPr>
          <w:rFonts w:ascii="David" w:hAnsi="David"/>
          <w:rtl/>
        </w:rPr>
      </w:pPr>
      <w:r>
        <w:rPr>
          <w:rFonts w:ascii="David" w:hAnsi="David"/>
          <w:rtl/>
        </w:rPr>
        <w:lastRenderedPageBreak/>
        <w:t>19.</w:t>
      </w:r>
      <w:r>
        <w:rPr>
          <w:rFonts w:ascii="David" w:hAnsi="David"/>
          <w:rtl/>
        </w:rPr>
        <w:tab/>
      </w:r>
      <w:r>
        <w:rPr>
          <w:rFonts w:ascii="David" w:hAnsi="David"/>
          <w:b/>
          <w:bCs/>
          <w:u w:val="single"/>
          <w:rtl/>
        </w:rPr>
        <w:t xml:space="preserve">דחיית טענה בדבר נטילת </w:t>
      </w:r>
      <w:r w:rsidR="000F5BF7">
        <w:rPr>
          <w:rFonts w:ascii="David" w:hAnsi="David"/>
          <w:b/>
          <w:bCs/>
          <w:u w:val="single"/>
          <w:rtl/>
        </w:rPr>
        <w:t>ו'</w:t>
      </w:r>
      <w:r>
        <w:rPr>
          <w:rFonts w:ascii="David" w:hAnsi="David"/>
          <w:b/>
          <w:bCs/>
          <w:u w:val="single"/>
          <w:rtl/>
        </w:rPr>
        <w:t xml:space="preserve"> חלק בעריכת הצוואה שבמחלוקת</w:t>
      </w:r>
      <w:r>
        <w:rPr>
          <w:rFonts w:ascii="David" w:hAnsi="David"/>
          <w:rtl/>
        </w:rPr>
        <w:t xml:space="preserve"> – בפסק הדין (סעיפים 121-130) דחה בית משפט קמא טענה בדבר בטלות הצוואה שבמחלוקת עקב מעורבותו של </w:t>
      </w:r>
      <w:r w:rsidR="000F5BF7">
        <w:rPr>
          <w:rFonts w:ascii="David" w:hAnsi="David"/>
          <w:rtl/>
        </w:rPr>
        <w:t>ו'</w:t>
      </w:r>
      <w:r>
        <w:rPr>
          <w:rFonts w:ascii="David" w:hAnsi="David"/>
          <w:rtl/>
        </w:rPr>
        <w:t xml:space="preserve"> בעריכתה, כהוראת סעיף 35 לחוק הירושה.</w:t>
      </w:r>
    </w:p>
    <w:p w:rsidR="00457B60" w:rsidRDefault="00457B60" w:rsidP="00457B60">
      <w:pPr>
        <w:spacing w:after="120" w:line="360" w:lineRule="auto"/>
        <w:ind w:left="720" w:hanging="720"/>
        <w:jc w:val="both"/>
        <w:rPr>
          <w:rFonts w:ascii="David" w:hAnsi="David"/>
          <w:rtl/>
        </w:rPr>
      </w:pPr>
      <w:r>
        <w:rPr>
          <w:rFonts w:ascii="David" w:hAnsi="David"/>
          <w:rtl/>
        </w:rPr>
        <w:tab/>
        <w:t xml:space="preserve">בנדון הדגיש בית משפט כי העד המרכזי לבחינת מעורבותו של </w:t>
      </w:r>
      <w:r w:rsidR="000F5BF7">
        <w:rPr>
          <w:rFonts w:ascii="David" w:hAnsi="David"/>
          <w:rtl/>
        </w:rPr>
        <w:t>ו'</w:t>
      </w:r>
      <w:r>
        <w:rPr>
          <w:rFonts w:ascii="David" w:hAnsi="David"/>
          <w:rtl/>
        </w:rPr>
        <w:t xml:space="preserve"> אם לאו בעריכת הצוואה שבמחלוקת, הוא </w:t>
      </w:r>
      <w:r w:rsidR="000F5BF7">
        <w:rPr>
          <w:rFonts w:ascii="David" w:hAnsi="David"/>
          <w:rtl/>
        </w:rPr>
        <w:t>ר'</w:t>
      </w:r>
      <w:r>
        <w:rPr>
          <w:rFonts w:ascii="David" w:hAnsi="David"/>
          <w:rtl/>
        </w:rPr>
        <w:t xml:space="preserve">. </w:t>
      </w:r>
    </w:p>
    <w:p w:rsidR="00457B60" w:rsidRDefault="00457B60" w:rsidP="00457B60">
      <w:pPr>
        <w:spacing w:after="120" w:line="360" w:lineRule="auto"/>
        <w:ind w:left="720" w:hanging="720"/>
        <w:jc w:val="both"/>
        <w:rPr>
          <w:rFonts w:ascii="David" w:hAnsi="David"/>
          <w:rtl/>
        </w:rPr>
      </w:pPr>
      <w:r>
        <w:rPr>
          <w:rFonts w:ascii="David" w:hAnsi="David"/>
          <w:rtl/>
        </w:rPr>
        <w:tab/>
        <w:t xml:space="preserve">לכן בית משפט קמא בחן את עדותו של </w:t>
      </w:r>
      <w:r w:rsidR="000F5BF7">
        <w:rPr>
          <w:rFonts w:ascii="David" w:hAnsi="David"/>
          <w:rtl/>
        </w:rPr>
        <w:t>ר'</w:t>
      </w:r>
      <w:r>
        <w:rPr>
          <w:rFonts w:ascii="David" w:hAnsi="David"/>
          <w:rtl/>
        </w:rPr>
        <w:t xml:space="preserve"> בהתייחס לעריכת שלוש צוואות המנוח, שאת כולן הוא ערך, כדלקמן;</w:t>
      </w:r>
    </w:p>
    <w:p w:rsidR="00457B60" w:rsidRDefault="00457B60" w:rsidP="00457B60">
      <w:pPr>
        <w:spacing w:after="120" w:line="360" w:lineRule="auto"/>
        <w:ind w:left="720" w:hanging="720"/>
        <w:jc w:val="both"/>
        <w:rPr>
          <w:rFonts w:ascii="David" w:hAnsi="David"/>
          <w:rtl/>
        </w:rPr>
      </w:pPr>
      <w:r>
        <w:rPr>
          <w:rFonts w:ascii="David" w:hAnsi="David"/>
          <w:rtl/>
        </w:rPr>
        <w:tab/>
      </w:r>
      <w:r>
        <w:rPr>
          <w:rFonts w:ascii="David" w:hAnsi="David"/>
          <w:u w:val="single"/>
          <w:rtl/>
        </w:rPr>
        <w:t xml:space="preserve">באשר לצוואה הראשונה מחודש מאי 1981 ציין </w:t>
      </w:r>
      <w:r w:rsidR="000F5BF7">
        <w:rPr>
          <w:rFonts w:ascii="David" w:hAnsi="David"/>
          <w:u w:val="single"/>
          <w:rtl/>
        </w:rPr>
        <w:t>ר'</w:t>
      </w:r>
      <w:r>
        <w:rPr>
          <w:rFonts w:ascii="David" w:hAnsi="David"/>
          <w:u w:val="single"/>
          <w:rtl/>
        </w:rPr>
        <w:t xml:space="preserve"> כי</w:t>
      </w:r>
      <w:r>
        <w:rPr>
          <w:rFonts w:ascii="David" w:hAnsi="David"/>
          <w:rtl/>
        </w:rPr>
        <w:t>:</w:t>
      </w:r>
    </w:p>
    <w:p w:rsidR="00457B60" w:rsidRDefault="000F5BF7" w:rsidP="00457B60">
      <w:pPr>
        <w:spacing w:after="120" w:line="360" w:lineRule="auto"/>
        <w:ind w:left="720"/>
        <w:jc w:val="both"/>
        <w:rPr>
          <w:rFonts w:ascii="David" w:hAnsi="David"/>
          <w:rtl/>
        </w:rPr>
      </w:pPr>
      <w:r>
        <w:rPr>
          <w:rFonts w:ascii="David" w:hAnsi="David"/>
          <w:rtl/>
        </w:rPr>
        <w:t>ו'</w:t>
      </w:r>
      <w:r w:rsidR="00457B60">
        <w:rPr>
          <w:rFonts w:ascii="David" w:hAnsi="David"/>
          <w:rtl/>
        </w:rPr>
        <w:t xml:space="preserve"> הגיע אליו פיזית למקום עבודתו – שכן לדבריו, הן לו והן למנוח לא היה מכשיר טלפון באותה תקופה (תחילת שנות ה- 80) – וביקש ממנו לגשת לאביו (המנוח) על מנת לערוך עבורו צוואה. </w:t>
      </w:r>
    </w:p>
    <w:p w:rsidR="00457B60" w:rsidRDefault="00457B60" w:rsidP="00457B60">
      <w:pPr>
        <w:spacing w:after="120" w:line="360" w:lineRule="auto"/>
        <w:ind w:left="720"/>
        <w:jc w:val="both"/>
        <w:rPr>
          <w:rFonts w:ascii="David" w:hAnsi="David"/>
          <w:rtl/>
        </w:rPr>
      </w:pPr>
      <w:r>
        <w:rPr>
          <w:rFonts w:ascii="David" w:hAnsi="David"/>
          <w:rtl/>
        </w:rPr>
        <w:t xml:space="preserve">ואולם, ע"פ עדותו, </w:t>
      </w:r>
      <w:r w:rsidR="000F5BF7">
        <w:rPr>
          <w:rFonts w:ascii="David" w:hAnsi="David"/>
          <w:rtl/>
        </w:rPr>
        <w:t>ו'</w:t>
      </w:r>
      <w:r>
        <w:rPr>
          <w:rFonts w:ascii="David" w:hAnsi="David"/>
          <w:rtl/>
        </w:rPr>
        <w:t xml:space="preserve"> לא מסר לו פרטים כלשהם לגבי הצוואה, אלא הוא ניגש לביתו של המנוח, והמנוח הוא שמסר לו את פרטי הצוואה; או אז ערך את הצוואה בביתו/מקום עבודתו, ושב לבית המנוח על מנת להחתימו על הצוואה. </w:t>
      </w:r>
    </w:p>
    <w:p w:rsidR="00457B60" w:rsidRDefault="00457B60" w:rsidP="00457B60">
      <w:pPr>
        <w:spacing w:after="120" w:line="360" w:lineRule="auto"/>
        <w:ind w:left="720"/>
        <w:jc w:val="both"/>
        <w:rPr>
          <w:rFonts w:ascii="David" w:hAnsi="David"/>
          <w:rtl/>
        </w:rPr>
      </w:pPr>
      <w:r>
        <w:rPr>
          <w:rFonts w:ascii="David" w:hAnsi="David"/>
          <w:rtl/>
        </w:rPr>
        <w:t xml:space="preserve">לטענתו, הוא רשם את שמות העדים על צוואת מאי 81' (להבדיל מצוואות יולי ו-אוגוסט 81'), שכן נכח במעמד חתימתה ע"י המנוח ואף חתם עליה בעצמו. כן העיד, כי אינו זוכר האם </w:t>
      </w:r>
      <w:r w:rsidR="000F5BF7">
        <w:rPr>
          <w:rFonts w:ascii="David" w:hAnsi="David"/>
          <w:rtl/>
        </w:rPr>
        <w:t>ו'</w:t>
      </w:r>
      <w:r>
        <w:rPr>
          <w:rFonts w:ascii="David" w:hAnsi="David"/>
          <w:rtl/>
        </w:rPr>
        <w:t xml:space="preserve"> היה במקום, ואולם לדבריו הוא לא התערב בעריכת הצוואה ו/או בחתימתה. </w:t>
      </w:r>
    </w:p>
    <w:p w:rsidR="00457B60" w:rsidRDefault="00457B60" w:rsidP="00457B60">
      <w:pPr>
        <w:spacing w:after="120" w:line="360" w:lineRule="auto"/>
        <w:ind w:left="720"/>
        <w:jc w:val="both"/>
        <w:rPr>
          <w:rFonts w:ascii="David" w:hAnsi="David"/>
          <w:rtl/>
        </w:rPr>
      </w:pPr>
      <w:r>
        <w:rPr>
          <w:rFonts w:ascii="David" w:hAnsi="David"/>
          <w:rtl/>
        </w:rPr>
        <w:t xml:space="preserve">לגבי התרשמותו מהמנוח, העיד, כי התרשם שהמנוח הבין הצוואה ושלם עימה. </w:t>
      </w:r>
    </w:p>
    <w:p w:rsidR="00457B60" w:rsidRDefault="00457B60" w:rsidP="00457B60">
      <w:pPr>
        <w:spacing w:after="120" w:line="360" w:lineRule="auto"/>
        <w:ind w:left="720"/>
        <w:jc w:val="both"/>
        <w:rPr>
          <w:rFonts w:ascii="David" w:hAnsi="David"/>
          <w:rtl/>
        </w:rPr>
      </w:pPr>
      <w:r>
        <w:rPr>
          <w:rFonts w:ascii="David" w:hAnsi="David"/>
          <w:rtl/>
        </w:rPr>
        <w:t xml:space="preserve">כשנשאל </w:t>
      </w:r>
      <w:r w:rsidR="000F5BF7">
        <w:rPr>
          <w:rFonts w:ascii="David" w:hAnsi="David"/>
          <w:rtl/>
        </w:rPr>
        <w:t>ר'</w:t>
      </w:r>
      <w:r>
        <w:rPr>
          <w:rFonts w:ascii="David" w:hAnsi="David"/>
          <w:rtl/>
        </w:rPr>
        <w:t xml:space="preserve"> מדוע אם כן ביקש המנוח כעבור חודש לשנות את הצוואה, ולעשות צוואה חדשה (הצוואה השנייה מיום 2.7.1981, בה גם ניתן ל</w:t>
      </w:r>
      <w:r w:rsidR="000F5BF7">
        <w:rPr>
          <w:rFonts w:ascii="David" w:hAnsi="David"/>
          <w:rtl/>
        </w:rPr>
        <w:t>ו'</w:t>
      </w:r>
      <w:r>
        <w:rPr>
          <w:rFonts w:ascii="David" w:hAnsi="David"/>
          <w:rtl/>
        </w:rPr>
        <w:t xml:space="preserve"> יותר משני אחיו), השיב: </w:t>
      </w:r>
      <w:r>
        <w:rPr>
          <w:rFonts w:ascii="David" w:hAnsi="David"/>
          <w:b/>
          <w:bCs/>
          <w:rtl/>
        </w:rPr>
        <w:t>"אני לא יודע מה גרם לכך. אבל הוא ביקש לשנ</w:t>
      </w:r>
      <w:r w:rsidR="00A90C3F">
        <w:rPr>
          <w:rFonts w:ascii="David" w:hAnsi="David"/>
          <w:b/>
          <w:bCs/>
          <w:rtl/>
        </w:rPr>
        <w:t>ות. הוא ביקש להוסיף עוד הטבות ל</w:t>
      </w:r>
      <w:r w:rsidR="00A90C3F">
        <w:rPr>
          <w:rFonts w:ascii="David" w:hAnsi="David" w:hint="cs"/>
          <w:b/>
          <w:bCs/>
          <w:rtl/>
        </w:rPr>
        <w:t>-</w:t>
      </w:r>
      <w:r w:rsidR="000F5BF7">
        <w:rPr>
          <w:rFonts w:ascii="David" w:hAnsi="David"/>
          <w:b/>
          <w:bCs/>
          <w:rtl/>
        </w:rPr>
        <w:t>ו'</w:t>
      </w:r>
      <w:r w:rsidR="00A90C3F">
        <w:rPr>
          <w:rFonts w:ascii="David" w:hAnsi="David"/>
          <w:b/>
          <w:bCs/>
          <w:rtl/>
        </w:rPr>
        <w:t>. בגלל שהוא הרגיש שהוא מחויב ל</w:t>
      </w:r>
      <w:r w:rsidR="00A90C3F">
        <w:rPr>
          <w:rFonts w:ascii="David" w:hAnsi="David" w:hint="cs"/>
          <w:b/>
          <w:bCs/>
          <w:rtl/>
        </w:rPr>
        <w:t>-</w:t>
      </w:r>
      <w:r w:rsidR="000F5BF7">
        <w:rPr>
          <w:rFonts w:ascii="David" w:hAnsi="David"/>
          <w:b/>
          <w:bCs/>
          <w:rtl/>
        </w:rPr>
        <w:t>ו'</w:t>
      </w:r>
      <w:r>
        <w:rPr>
          <w:rFonts w:ascii="David" w:hAnsi="David"/>
          <w:b/>
          <w:bCs/>
          <w:rtl/>
        </w:rPr>
        <w:t xml:space="preserve"> עוד הרבה" </w:t>
      </w:r>
      <w:r>
        <w:rPr>
          <w:rFonts w:ascii="David" w:hAnsi="David"/>
          <w:rtl/>
        </w:rPr>
        <w:t xml:space="preserve">(ציטוט רחב יותר מעדותו של העד </w:t>
      </w:r>
      <w:r w:rsidR="000F5BF7">
        <w:rPr>
          <w:rFonts w:ascii="David" w:hAnsi="David"/>
          <w:rtl/>
        </w:rPr>
        <w:t>ר'</w:t>
      </w:r>
      <w:r>
        <w:rPr>
          <w:rFonts w:ascii="David" w:hAnsi="David"/>
          <w:rtl/>
        </w:rPr>
        <w:t xml:space="preserve"> מופיע בסעיף 123 לפסק הדין).</w:t>
      </w:r>
    </w:p>
    <w:p w:rsidR="00457B60" w:rsidRDefault="00457B60" w:rsidP="00457B60">
      <w:pPr>
        <w:spacing w:after="120" w:line="360" w:lineRule="auto"/>
        <w:ind w:left="720"/>
        <w:jc w:val="both"/>
        <w:rPr>
          <w:rFonts w:ascii="David" w:hAnsi="David"/>
          <w:rtl/>
        </w:rPr>
      </w:pPr>
      <w:r>
        <w:rPr>
          <w:rFonts w:ascii="David" w:hAnsi="David"/>
          <w:u w:val="single"/>
          <w:rtl/>
        </w:rPr>
        <w:t xml:space="preserve">באשר לצוואה השנייה מחודש יולי 1981  ציין </w:t>
      </w:r>
      <w:r w:rsidR="000F5BF7">
        <w:rPr>
          <w:rFonts w:ascii="David" w:hAnsi="David"/>
          <w:u w:val="single"/>
          <w:rtl/>
        </w:rPr>
        <w:t>ר'</w:t>
      </w:r>
      <w:r>
        <w:rPr>
          <w:rFonts w:ascii="David" w:hAnsi="David"/>
          <w:u w:val="single"/>
          <w:rtl/>
        </w:rPr>
        <w:t xml:space="preserve"> כי</w:t>
      </w:r>
      <w:r>
        <w:rPr>
          <w:rFonts w:ascii="David" w:hAnsi="David"/>
          <w:rtl/>
        </w:rPr>
        <w:t>:</w:t>
      </w:r>
    </w:p>
    <w:p w:rsidR="00457B60" w:rsidRDefault="00457B60" w:rsidP="00457B60">
      <w:pPr>
        <w:spacing w:after="120" w:line="360" w:lineRule="auto"/>
        <w:ind w:left="720"/>
        <w:jc w:val="both"/>
        <w:rPr>
          <w:rFonts w:ascii="David" w:hAnsi="David"/>
          <w:rtl/>
        </w:rPr>
      </w:pPr>
      <w:r>
        <w:rPr>
          <w:rFonts w:ascii="David" w:hAnsi="David"/>
          <w:rtl/>
        </w:rPr>
        <w:t>רשם על צוואת יולי 81 בכתב ידו את התאריך בה ערך את הצוואה, ואולם שמות העדים לא נרשמו בצוואה על ידו.</w:t>
      </w:r>
    </w:p>
    <w:p w:rsidR="00457B60" w:rsidRDefault="00457B60" w:rsidP="00457B60">
      <w:pPr>
        <w:spacing w:after="120" w:line="360" w:lineRule="auto"/>
        <w:ind w:left="720"/>
        <w:jc w:val="both"/>
        <w:rPr>
          <w:rFonts w:ascii="David" w:hAnsi="David"/>
          <w:rtl/>
        </w:rPr>
      </w:pPr>
      <w:r>
        <w:rPr>
          <w:rFonts w:ascii="David" w:hAnsi="David"/>
          <w:u w:val="single"/>
          <w:rtl/>
        </w:rPr>
        <w:t xml:space="preserve">באשר לצוואה השלישית מחודש אוגוסט 1981 (הצוואה שבמחלוקת) ציין </w:t>
      </w:r>
      <w:r w:rsidR="000F5BF7">
        <w:rPr>
          <w:rFonts w:ascii="David" w:hAnsi="David"/>
          <w:u w:val="single"/>
          <w:rtl/>
        </w:rPr>
        <w:t>ר'</w:t>
      </w:r>
      <w:r>
        <w:rPr>
          <w:rFonts w:ascii="David" w:hAnsi="David"/>
          <w:u w:val="single"/>
          <w:rtl/>
        </w:rPr>
        <w:t xml:space="preserve"> כי</w:t>
      </w:r>
      <w:r>
        <w:rPr>
          <w:rFonts w:ascii="David" w:hAnsi="David"/>
          <w:rtl/>
        </w:rPr>
        <w:t>:</w:t>
      </w:r>
    </w:p>
    <w:p w:rsidR="00457B60" w:rsidRDefault="00457B60" w:rsidP="00457B60">
      <w:pPr>
        <w:spacing w:after="120" w:line="360" w:lineRule="auto"/>
        <w:ind w:left="720"/>
        <w:jc w:val="both"/>
        <w:rPr>
          <w:rFonts w:ascii="David" w:hAnsi="David"/>
          <w:rtl/>
        </w:rPr>
      </w:pPr>
      <w:r>
        <w:rPr>
          <w:rFonts w:ascii="David" w:hAnsi="David"/>
          <w:rtl/>
        </w:rPr>
        <w:t xml:space="preserve">קיבל את תוכנה מהמנוח בביתו וכן אישר כי הצוואה נרשמה על ידו, למעט שמות העדים ומספרי תעודות הזהות שלהם. לדבריו, כתב את התאריך ככל הנראה משום שנמסר לו כי היא עומדת להיחתם באותו יום, ואולם לא הוסיף את שמות העדים כי לא ידע מי העדים. </w:t>
      </w:r>
    </w:p>
    <w:p w:rsidR="00457B60" w:rsidRDefault="00457B60" w:rsidP="00457B60">
      <w:pPr>
        <w:spacing w:after="120" w:line="360" w:lineRule="auto"/>
        <w:ind w:left="720"/>
        <w:jc w:val="both"/>
        <w:rPr>
          <w:rFonts w:ascii="David" w:hAnsi="David"/>
          <w:rtl/>
        </w:rPr>
      </w:pPr>
      <w:r>
        <w:rPr>
          <w:rFonts w:ascii="David" w:hAnsi="David"/>
          <w:rtl/>
        </w:rPr>
        <w:t xml:space="preserve">כן אישר העד </w:t>
      </w:r>
      <w:r w:rsidR="000F5BF7">
        <w:rPr>
          <w:rFonts w:ascii="David" w:hAnsi="David"/>
          <w:rtl/>
        </w:rPr>
        <w:t>ר'</w:t>
      </w:r>
      <w:r>
        <w:rPr>
          <w:rFonts w:ascii="David" w:hAnsi="David"/>
          <w:rtl/>
        </w:rPr>
        <w:t xml:space="preserve"> כי כתב את תאריך העריכה ואת תאריך החתימה, ולא זכר לומר מדוע לא שימש כעד לצוואה.</w:t>
      </w:r>
    </w:p>
    <w:p w:rsidR="00457B60" w:rsidRDefault="00457B60" w:rsidP="00457B60">
      <w:pPr>
        <w:spacing w:after="120" w:line="360" w:lineRule="auto"/>
        <w:ind w:left="720"/>
        <w:jc w:val="both"/>
        <w:rPr>
          <w:rFonts w:ascii="David" w:hAnsi="David"/>
          <w:rtl/>
        </w:rPr>
      </w:pPr>
      <w:r>
        <w:rPr>
          <w:rFonts w:ascii="David" w:hAnsi="David"/>
          <w:rtl/>
        </w:rPr>
        <w:lastRenderedPageBreak/>
        <w:t>לשאלה כיצד קיבל את פרטי גוש וחלקה המפורטים בצוואה, השיב כי להערכתו הפ</w:t>
      </w:r>
      <w:r w:rsidR="001F4B28">
        <w:rPr>
          <w:rFonts w:ascii="David" w:hAnsi="David"/>
          <w:rtl/>
        </w:rPr>
        <w:t>רטים התקבלו מחתנו של המנוח (ס</w:t>
      </w:r>
      <w:r w:rsidR="001F4B28">
        <w:rPr>
          <w:rFonts w:ascii="David" w:hAnsi="David" w:hint="cs"/>
          <w:rtl/>
        </w:rPr>
        <w:t>'</w:t>
      </w:r>
      <w:r>
        <w:rPr>
          <w:rFonts w:ascii="David" w:hAnsi="David"/>
          <w:rtl/>
        </w:rPr>
        <w:t>) שעבד במועצה המקומית, והבהיר כי לא נדרש לסיוע בעניין זה מ</w:t>
      </w:r>
      <w:r w:rsidR="000F5BF7">
        <w:rPr>
          <w:rFonts w:ascii="David" w:hAnsi="David"/>
          <w:rtl/>
        </w:rPr>
        <w:t>ו'</w:t>
      </w:r>
      <w:r>
        <w:rPr>
          <w:rFonts w:ascii="David" w:hAnsi="David"/>
          <w:rtl/>
        </w:rPr>
        <w:t>.</w:t>
      </w:r>
    </w:p>
    <w:p w:rsidR="00457B60" w:rsidRDefault="00457B60" w:rsidP="00457B60">
      <w:pPr>
        <w:spacing w:after="120" w:line="360" w:lineRule="auto"/>
        <w:ind w:left="720"/>
        <w:jc w:val="both"/>
        <w:rPr>
          <w:rFonts w:ascii="David" w:hAnsi="David"/>
          <w:rtl/>
        </w:rPr>
      </w:pPr>
      <w:r>
        <w:rPr>
          <w:rFonts w:ascii="David" w:hAnsi="David"/>
          <w:rtl/>
        </w:rPr>
        <w:t xml:space="preserve">כן אישר, כי ככל הנראה מסר את נוסחי צוואות יולי 81' ואוגוסט 81' (הצוואה שבמחלוקת) למנוח, באמצעות </w:t>
      </w:r>
      <w:r w:rsidR="000F5BF7">
        <w:rPr>
          <w:rFonts w:ascii="David" w:hAnsi="David"/>
          <w:rtl/>
        </w:rPr>
        <w:t>ו'</w:t>
      </w:r>
      <w:r>
        <w:rPr>
          <w:rFonts w:ascii="David" w:hAnsi="David"/>
          <w:rtl/>
        </w:rPr>
        <w:t xml:space="preserve">. </w:t>
      </w:r>
    </w:p>
    <w:p w:rsidR="00457B60" w:rsidRDefault="00457B60" w:rsidP="00457B60">
      <w:pPr>
        <w:spacing w:after="120" w:line="360" w:lineRule="auto"/>
        <w:ind w:left="720"/>
        <w:jc w:val="both"/>
        <w:rPr>
          <w:rFonts w:ascii="David" w:hAnsi="David"/>
          <w:rtl/>
        </w:rPr>
      </w:pPr>
      <w:r>
        <w:rPr>
          <w:rFonts w:ascii="David" w:hAnsi="David"/>
          <w:rtl/>
        </w:rPr>
        <w:t xml:space="preserve">במצב דברים זה, בית משפט קמא לא מצא לקבל את טענת </w:t>
      </w:r>
      <w:r w:rsidR="000F5BF7">
        <w:rPr>
          <w:rFonts w:ascii="David" w:hAnsi="David"/>
          <w:rtl/>
        </w:rPr>
        <w:t>ס'</w:t>
      </w:r>
      <w:r>
        <w:rPr>
          <w:rFonts w:ascii="David" w:hAnsi="David"/>
          <w:rtl/>
        </w:rPr>
        <w:t xml:space="preserve">, בדבר מעורבות אקטיבית של </w:t>
      </w:r>
      <w:r w:rsidR="000F5BF7">
        <w:rPr>
          <w:rFonts w:ascii="David" w:hAnsi="David"/>
          <w:rtl/>
        </w:rPr>
        <w:t>ו'</w:t>
      </w:r>
      <w:r>
        <w:rPr>
          <w:rFonts w:ascii="David" w:hAnsi="David"/>
          <w:rtl/>
        </w:rPr>
        <w:t xml:space="preserve"> בעריכת הצוואה.  </w:t>
      </w:r>
    </w:p>
    <w:p w:rsidR="00457B60" w:rsidRDefault="00457B60" w:rsidP="00457B60">
      <w:pPr>
        <w:spacing w:after="120" w:line="360" w:lineRule="auto"/>
        <w:ind w:left="720"/>
        <w:jc w:val="both"/>
        <w:rPr>
          <w:rFonts w:ascii="David" w:hAnsi="David"/>
          <w:rtl/>
        </w:rPr>
      </w:pPr>
      <w:r>
        <w:rPr>
          <w:rFonts w:ascii="David" w:hAnsi="David"/>
          <w:rtl/>
        </w:rPr>
        <w:t xml:space="preserve">בית משפט קמא התרשם מעדותו של </w:t>
      </w:r>
      <w:r w:rsidR="000F5BF7">
        <w:rPr>
          <w:rFonts w:ascii="David" w:hAnsi="David"/>
          <w:rtl/>
        </w:rPr>
        <w:t>ר'</w:t>
      </w:r>
      <w:r>
        <w:rPr>
          <w:rFonts w:ascii="David" w:hAnsi="David"/>
          <w:rtl/>
        </w:rPr>
        <w:t xml:space="preserve">, כי מעורבות </w:t>
      </w:r>
      <w:r w:rsidR="000F5BF7">
        <w:rPr>
          <w:rFonts w:ascii="David" w:hAnsi="David"/>
          <w:rtl/>
        </w:rPr>
        <w:t>ו'</w:t>
      </w:r>
      <w:r>
        <w:rPr>
          <w:rFonts w:ascii="David" w:hAnsi="David"/>
          <w:rtl/>
        </w:rPr>
        <w:t xml:space="preserve">, אם בכלל, היתה מצומצמת מאד, וטכנית לחלוטין. </w:t>
      </w:r>
    </w:p>
    <w:p w:rsidR="00457B60" w:rsidRDefault="00457B60" w:rsidP="00457B60">
      <w:pPr>
        <w:spacing w:after="120" w:line="360" w:lineRule="auto"/>
        <w:ind w:left="720"/>
        <w:jc w:val="both"/>
        <w:rPr>
          <w:rFonts w:ascii="David" w:hAnsi="David"/>
          <w:rtl/>
        </w:rPr>
      </w:pPr>
      <w:r>
        <w:rPr>
          <w:rFonts w:ascii="David" w:hAnsi="David"/>
          <w:rtl/>
        </w:rPr>
        <w:t xml:space="preserve">הדגיש בית משפט קמא, כי מעדותו של </w:t>
      </w:r>
      <w:r w:rsidR="000F5BF7">
        <w:rPr>
          <w:rFonts w:ascii="David" w:hAnsi="David"/>
          <w:rtl/>
        </w:rPr>
        <w:t>ר'</w:t>
      </w:r>
      <w:r>
        <w:rPr>
          <w:rFonts w:ascii="David" w:hAnsi="David"/>
          <w:rtl/>
        </w:rPr>
        <w:t xml:space="preserve"> עולה, כי </w:t>
      </w:r>
      <w:r w:rsidR="000F5BF7">
        <w:rPr>
          <w:rFonts w:ascii="David" w:hAnsi="David"/>
          <w:rtl/>
        </w:rPr>
        <w:t>ו'</w:t>
      </w:r>
      <w:r>
        <w:rPr>
          <w:rFonts w:ascii="David" w:hAnsi="David"/>
          <w:rtl/>
        </w:rPr>
        <w:t xml:space="preserve"> לא היה מעורב בניסוח הצוואה ו/או העברת רצונו של המנוח – ואלו נערכו על סמך שיחה פנים אל פנים של </w:t>
      </w:r>
      <w:r w:rsidR="000F5BF7">
        <w:rPr>
          <w:rFonts w:ascii="David" w:hAnsi="David"/>
          <w:rtl/>
        </w:rPr>
        <w:t>ר'</w:t>
      </w:r>
      <w:r>
        <w:rPr>
          <w:rFonts w:ascii="David" w:hAnsi="David"/>
          <w:rtl/>
        </w:rPr>
        <w:t xml:space="preserve"> עם המנוח.</w:t>
      </w:r>
    </w:p>
    <w:p w:rsidR="00457B60" w:rsidRDefault="00457B60" w:rsidP="00457B60">
      <w:pPr>
        <w:spacing w:after="120" w:line="360" w:lineRule="auto"/>
        <w:ind w:left="720"/>
        <w:jc w:val="both"/>
        <w:rPr>
          <w:rFonts w:ascii="David" w:hAnsi="David"/>
          <w:rtl/>
        </w:rPr>
      </w:pPr>
      <w:r>
        <w:rPr>
          <w:rFonts w:ascii="David" w:hAnsi="David"/>
          <w:rtl/>
        </w:rPr>
        <w:t xml:space="preserve">בית המשפט קמא גם ציין כי </w:t>
      </w:r>
      <w:r w:rsidR="000F5BF7">
        <w:rPr>
          <w:rFonts w:ascii="David" w:hAnsi="David"/>
          <w:rtl/>
        </w:rPr>
        <w:t>ו'</w:t>
      </w:r>
      <w:r>
        <w:rPr>
          <w:rFonts w:ascii="David" w:hAnsi="David"/>
          <w:rtl/>
        </w:rPr>
        <w:t xml:space="preserve"> אף לא היה מעורב באיסוף המידע המפורט בצוואה. </w:t>
      </w:r>
    </w:p>
    <w:p w:rsidR="00457B60" w:rsidRDefault="00457B60" w:rsidP="00457B60">
      <w:pPr>
        <w:spacing w:after="120" w:line="360" w:lineRule="auto"/>
        <w:ind w:left="720"/>
        <w:jc w:val="both"/>
        <w:rPr>
          <w:rFonts w:ascii="David" w:hAnsi="David"/>
          <w:rtl/>
        </w:rPr>
      </w:pPr>
      <w:r>
        <w:rPr>
          <w:rFonts w:ascii="David" w:hAnsi="David"/>
          <w:rtl/>
        </w:rPr>
        <w:t xml:space="preserve">אף בזהותם של עדי הקיום לצוואה לא מצא בית משפט קמא משום מעורבות של </w:t>
      </w:r>
      <w:r w:rsidR="000F5BF7">
        <w:rPr>
          <w:rFonts w:ascii="David" w:hAnsi="David"/>
          <w:rtl/>
        </w:rPr>
        <w:t>ו'</w:t>
      </w:r>
      <w:r>
        <w:rPr>
          <w:rFonts w:ascii="David" w:hAnsi="David"/>
          <w:rtl/>
        </w:rPr>
        <w:t xml:space="preserve">, נוכח עדותו של מר מתא (עד קיום) ממנה עולה כי היה כבן בית בביתו של המנוח. </w:t>
      </w:r>
    </w:p>
    <w:p w:rsidR="00457B60" w:rsidRDefault="00457B60" w:rsidP="00457B60">
      <w:pPr>
        <w:spacing w:after="120" w:line="360" w:lineRule="auto"/>
        <w:ind w:left="720"/>
        <w:jc w:val="both"/>
        <w:rPr>
          <w:rFonts w:ascii="David" w:hAnsi="David"/>
          <w:rtl/>
        </w:rPr>
      </w:pPr>
      <w:r>
        <w:rPr>
          <w:rFonts w:ascii="David" w:hAnsi="David"/>
          <w:rtl/>
        </w:rPr>
        <w:t>ב</w:t>
      </w:r>
      <w:r w:rsidR="001F4B28">
        <w:rPr>
          <w:rFonts w:ascii="David" w:hAnsi="David"/>
          <w:rtl/>
        </w:rPr>
        <w:t>אשר לעד הקיום השני, מר ו</w:t>
      </w:r>
      <w:r w:rsidR="001F4B28">
        <w:rPr>
          <w:rFonts w:ascii="David" w:hAnsi="David" w:hint="cs"/>
          <w:rtl/>
        </w:rPr>
        <w:t>. ע</w:t>
      </w:r>
      <w:r>
        <w:rPr>
          <w:rFonts w:ascii="David" w:hAnsi="David"/>
          <w:rtl/>
        </w:rPr>
        <w:t xml:space="preserve"> ז"ל, שנפטר, </w:t>
      </w:r>
      <w:r w:rsidR="000F5BF7">
        <w:rPr>
          <w:rFonts w:ascii="David" w:hAnsi="David"/>
          <w:rtl/>
        </w:rPr>
        <w:t>ו'</w:t>
      </w:r>
      <w:r>
        <w:rPr>
          <w:rFonts w:ascii="David" w:hAnsi="David"/>
          <w:rtl/>
        </w:rPr>
        <w:t xml:space="preserve"> התייחס אליו כאל 'סנדק', כינוי שיש בו </w:t>
      </w:r>
      <w:r w:rsidR="001F4B28">
        <w:rPr>
          <w:rFonts w:ascii="David" w:hAnsi="David"/>
          <w:rtl/>
        </w:rPr>
        <w:t>להעיד גם על קשר קרוב בין מר ע</w:t>
      </w:r>
      <w:r w:rsidR="001F4B28">
        <w:rPr>
          <w:rFonts w:ascii="David" w:hAnsi="David" w:hint="cs"/>
          <w:rtl/>
        </w:rPr>
        <w:t>.</w:t>
      </w:r>
      <w:r>
        <w:rPr>
          <w:rFonts w:ascii="David" w:hAnsi="David"/>
          <w:rtl/>
        </w:rPr>
        <w:t xml:space="preserve"> ז"ל לבין המנוח עצמו. </w:t>
      </w:r>
    </w:p>
    <w:p w:rsidR="00457B60" w:rsidRDefault="00457B60" w:rsidP="00457B60">
      <w:pPr>
        <w:spacing w:after="120" w:line="360" w:lineRule="auto"/>
        <w:ind w:left="720"/>
        <w:jc w:val="both"/>
        <w:rPr>
          <w:rFonts w:ascii="David" w:hAnsi="David"/>
          <w:rtl/>
        </w:rPr>
      </w:pPr>
      <w:r>
        <w:rPr>
          <w:rFonts w:ascii="David" w:hAnsi="David"/>
          <w:rtl/>
        </w:rPr>
        <w:t xml:space="preserve">כן ציין בית משפט קמא, כי לא ניתן לקבוע בוודאות כי </w:t>
      </w:r>
      <w:r w:rsidR="000F5BF7">
        <w:rPr>
          <w:rFonts w:ascii="David" w:hAnsi="David"/>
          <w:rtl/>
        </w:rPr>
        <w:t>ו'</w:t>
      </w:r>
      <w:r>
        <w:rPr>
          <w:rFonts w:ascii="David" w:hAnsi="David"/>
          <w:rtl/>
        </w:rPr>
        <w:t xml:space="preserve"> אכן נכח בפועל במעמד החתימה על הצוואות. </w:t>
      </w:r>
    </w:p>
    <w:p w:rsidR="00457B60" w:rsidRDefault="00457B60" w:rsidP="00457B60">
      <w:pPr>
        <w:spacing w:after="120" w:line="360" w:lineRule="auto"/>
        <w:ind w:left="720"/>
        <w:jc w:val="both"/>
        <w:rPr>
          <w:rFonts w:ascii="David" w:hAnsi="David"/>
          <w:rtl/>
        </w:rPr>
      </w:pPr>
      <w:r>
        <w:rPr>
          <w:rFonts w:ascii="David" w:hAnsi="David"/>
          <w:rtl/>
        </w:rPr>
        <w:t>הוסיף בית משפט קמא, כי ייתכן, שמוטב היה ש</w:t>
      </w:r>
      <w:r w:rsidR="000F5BF7">
        <w:rPr>
          <w:rFonts w:ascii="David" w:hAnsi="David"/>
          <w:rtl/>
        </w:rPr>
        <w:t>ו'</w:t>
      </w:r>
      <w:r>
        <w:rPr>
          <w:rFonts w:ascii="David" w:hAnsi="David"/>
          <w:rtl/>
        </w:rPr>
        <w:t xml:space="preserve"> לא ישמש כשליח לצורך העברת צוואות יולי ו- אוגוסט 81 למנוח. ברם, בהינתן הנסיבות האובייקטיביות באותה עת – היעדר משרד, היעדר אמצעי תקשורת, עריכת צוואות בכתב יד והעתקים באמצעות נייר קופי – אין לראות בעובדה זו בלבד משום מעורבות נהנה בצוואה. </w:t>
      </w:r>
    </w:p>
    <w:p w:rsidR="00457B60" w:rsidRDefault="00457B60" w:rsidP="00457B60">
      <w:pPr>
        <w:spacing w:after="120" w:line="360" w:lineRule="auto"/>
        <w:ind w:left="720"/>
        <w:jc w:val="both"/>
        <w:rPr>
          <w:rFonts w:ascii="David" w:hAnsi="David"/>
          <w:rtl/>
        </w:rPr>
      </w:pPr>
      <w:r>
        <w:rPr>
          <w:rFonts w:ascii="David" w:hAnsi="David"/>
          <w:rtl/>
        </w:rPr>
        <w:t xml:space="preserve">בנדון ציין בית המשפט קמא, כי גם אם </w:t>
      </w:r>
      <w:r w:rsidR="000F5BF7">
        <w:rPr>
          <w:rFonts w:ascii="David" w:hAnsi="David"/>
          <w:rtl/>
        </w:rPr>
        <w:t>ו'</w:t>
      </w:r>
      <w:r>
        <w:rPr>
          <w:rFonts w:ascii="David" w:hAnsi="David"/>
          <w:rtl/>
        </w:rPr>
        <w:t xml:space="preserve"> אכן קיבל לידיו את נוסח הצוואות מ</w:t>
      </w:r>
      <w:r w:rsidR="000F5BF7">
        <w:rPr>
          <w:rFonts w:ascii="David" w:hAnsi="David"/>
          <w:rtl/>
        </w:rPr>
        <w:t>ר'</w:t>
      </w:r>
      <w:r>
        <w:rPr>
          <w:rFonts w:ascii="David" w:hAnsi="David"/>
          <w:rtl/>
        </w:rPr>
        <w:t xml:space="preserve">, הרי שלא נטען כי בוצע על גבי הנוסח שינוי כלשהו.  </w:t>
      </w:r>
    </w:p>
    <w:p w:rsidR="00457B60" w:rsidRDefault="00457B60" w:rsidP="00457B60">
      <w:pPr>
        <w:spacing w:after="120" w:line="360" w:lineRule="auto"/>
        <w:ind w:left="720"/>
        <w:jc w:val="both"/>
        <w:rPr>
          <w:rFonts w:ascii="David" w:hAnsi="David"/>
          <w:rtl/>
        </w:rPr>
      </w:pPr>
      <w:r>
        <w:rPr>
          <w:rFonts w:ascii="David" w:hAnsi="David"/>
          <w:rtl/>
        </w:rPr>
        <w:t xml:space="preserve">באשר לנוכחות </w:t>
      </w:r>
      <w:r w:rsidR="000F5BF7">
        <w:rPr>
          <w:rFonts w:ascii="David" w:hAnsi="David"/>
          <w:rtl/>
        </w:rPr>
        <w:t>ו'</w:t>
      </w:r>
      <w:r>
        <w:rPr>
          <w:rFonts w:ascii="David" w:hAnsi="David"/>
          <w:rtl/>
        </w:rPr>
        <w:t xml:space="preserve"> במעמד חתימת הצוואות – הרי ש</w:t>
      </w:r>
      <w:r w:rsidR="000F5BF7">
        <w:rPr>
          <w:rFonts w:ascii="David" w:hAnsi="David"/>
          <w:rtl/>
        </w:rPr>
        <w:t>ר'</w:t>
      </w:r>
      <w:r>
        <w:rPr>
          <w:rFonts w:ascii="David" w:hAnsi="David"/>
          <w:rtl/>
        </w:rPr>
        <w:t xml:space="preserve"> לא זכר לומר אם אמנם </w:t>
      </w:r>
      <w:r w:rsidR="000F5BF7">
        <w:rPr>
          <w:rFonts w:ascii="David" w:hAnsi="David"/>
          <w:rtl/>
        </w:rPr>
        <w:t>ו'</w:t>
      </w:r>
      <w:r>
        <w:rPr>
          <w:rFonts w:ascii="David" w:hAnsi="David"/>
          <w:rtl/>
        </w:rPr>
        <w:t xml:space="preserve"> היה נוכח, ובית המשפט לא ראה לייחס משקל לעדותו של מר מתא (אחד מעדי הקיום) בכל הנוגע לנסיבות חתימת הצוואות.   </w:t>
      </w:r>
    </w:p>
    <w:p w:rsidR="00484611" w:rsidRDefault="00457B60" w:rsidP="001F4B28">
      <w:pPr>
        <w:spacing w:after="120" w:line="360" w:lineRule="auto"/>
        <w:ind w:left="720"/>
        <w:jc w:val="both"/>
        <w:rPr>
          <w:rFonts w:ascii="David" w:hAnsi="David"/>
          <w:rtl/>
        </w:rPr>
      </w:pPr>
      <w:r>
        <w:rPr>
          <w:rFonts w:ascii="David" w:hAnsi="David"/>
          <w:rtl/>
        </w:rPr>
        <w:t xml:space="preserve">במצב דברים זה, כך קבע בית משפט קמא, טענות </w:t>
      </w:r>
      <w:r w:rsidR="000F5BF7">
        <w:rPr>
          <w:rFonts w:ascii="David" w:hAnsi="David"/>
          <w:rtl/>
        </w:rPr>
        <w:t>ס'</w:t>
      </w:r>
      <w:r>
        <w:rPr>
          <w:rFonts w:ascii="David" w:hAnsi="David"/>
          <w:rtl/>
        </w:rPr>
        <w:t xml:space="preserve"> לגבי מועד חתימת הצוואות – לא הוכחו. </w:t>
      </w:r>
    </w:p>
    <w:p w:rsidR="00457B60" w:rsidRDefault="00457B60" w:rsidP="00457B60">
      <w:pPr>
        <w:spacing w:after="120" w:line="360" w:lineRule="auto"/>
        <w:ind w:left="720"/>
        <w:jc w:val="both"/>
        <w:rPr>
          <w:rFonts w:ascii="David" w:hAnsi="David"/>
          <w:rtl/>
        </w:rPr>
      </w:pPr>
      <w:r>
        <w:rPr>
          <w:rFonts w:ascii="David" w:hAnsi="David"/>
          <w:u w:val="single"/>
          <w:rtl/>
        </w:rPr>
        <w:t>בית משפט קמא הוסיף וציין (בסעיף 127 לפסק הדין), כי</w:t>
      </w:r>
      <w:r>
        <w:rPr>
          <w:rFonts w:ascii="David" w:hAnsi="David"/>
          <w:rtl/>
        </w:rPr>
        <w:t>:</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 אף אם נכונה טענת </w:t>
      </w:r>
      <w:r w:rsidR="000F5BF7">
        <w:rPr>
          <w:rFonts w:ascii="David" w:hAnsi="David"/>
          <w:b/>
          <w:bCs/>
          <w:rtl/>
        </w:rPr>
        <w:t>ס'</w:t>
      </w:r>
      <w:r>
        <w:rPr>
          <w:rFonts w:ascii="David" w:hAnsi="David"/>
          <w:b/>
          <w:bCs/>
          <w:rtl/>
        </w:rPr>
        <w:t xml:space="preserve">, כי </w:t>
      </w:r>
      <w:r w:rsidR="000F5BF7">
        <w:rPr>
          <w:rFonts w:ascii="David" w:hAnsi="David"/>
          <w:b/>
          <w:bCs/>
          <w:rtl/>
        </w:rPr>
        <w:t>ו'</w:t>
      </w:r>
      <w:r>
        <w:rPr>
          <w:rFonts w:ascii="David" w:hAnsi="David"/>
          <w:b/>
          <w:bCs/>
          <w:rtl/>
        </w:rPr>
        <w:t xml:space="preserve"> החזיק פיזית בצוואות במהלך כל השנים והסתיר אותן מאחיו, אין בכך כדי לסייע לטענתו אודות מעורבותו בהן, מקום בו אין חולק כי </w:t>
      </w:r>
      <w:r w:rsidR="000F5BF7">
        <w:rPr>
          <w:rFonts w:ascii="David" w:hAnsi="David"/>
          <w:b/>
          <w:bCs/>
          <w:rtl/>
        </w:rPr>
        <w:t>ו'</w:t>
      </w:r>
      <w:r>
        <w:rPr>
          <w:rFonts w:ascii="David" w:hAnsi="David"/>
          <w:b/>
          <w:bCs/>
          <w:rtl/>
        </w:rPr>
        <w:t xml:space="preserve"> הסכים בתחילה לחלק את עזבון המנוח עם אחיו".</w:t>
      </w:r>
    </w:p>
    <w:p w:rsidR="00457B60" w:rsidRDefault="00457B60" w:rsidP="00457B60">
      <w:pPr>
        <w:spacing w:after="120" w:line="360" w:lineRule="auto"/>
        <w:ind w:left="720"/>
        <w:jc w:val="both"/>
        <w:rPr>
          <w:rFonts w:ascii="David" w:hAnsi="David"/>
          <w:rtl/>
        </w:rPr>
      </w:pPr>
      <w:r>
        <w:rPr>
          <w:rFonts w:ascii="David" w:hAnsi="David"/>
          <w:rtl/>
        </w:rPr>
        <w:t xml:space="preserve">לאור כל זאת, דחה בית משפט קמא את הטענה, בדבר מעורבותו של </w:t>
      </w:r>
      <w:r w:rsidR="000F5BF7">
        <w:rPr>
          <w:rFonts w:ascii="David" w:hAnsi="David"/>
          <w:rtl/>
        </w:rPr>
        <w:t>ו'</w:t>
      </w:r>
      <w:r>
        <w:rPr>
          <w:rFonts w:ascii="David" w:hAnsi="David"/>
          <w:rtl/>
        </w:rPr>
        <w:t xml:space="preserve"> בעריכת הצוואה שבמחלוקת.</w:t>
      </w:r>
    </w:p>
    <w:p w:rsidR="00457B60" w:rsidRDefault="00457B60" w:rsidP="00457B60">
      <w:pPr>
        <w:spacing w:after="120" w:line="360" w:lineRule="auto"/>
        <w:ind w:left="720" w:hanging="720"/>
        <w:jc w:val="both"/>
        <w:rPr>
          <w:rFonts w:ascii="David" w:hAnsi="David"/>
          <w:rtl/>
        </w:rPr>
      </w:pPr>
      <w:r>
        <w:rPr>
          <w:rFonts w:ascii="David" w:hAnsi="David"/>
          <w:rtl/>
        </w:rPr>
        <w:lastRenderedPageBreak/>
        <w:t>20.</w:t>
      </w:r>
      <w:r>
        <w:rPr>
          <w:rFonts w:ascii="David" w:hAnsi="David"/>
          <w:rtl/>
        </w:rPr>
        <w:tab/>
      </w:r>
      <w:r>
        <w:rPr>
          <w:rFonts w:ascii="David" w:hAnsi="David"/>
          <w:b/>
          <w:bCs/>
          <w:u w:val="single"/>
          <w:rtl/>
        </w:rPr>
        <w:t xml:space="preserve">דחיית הטענה כי </w:t>
      </w:r>
      <w:r w:rsidR="000F5BF7">
        <w:rPr>
          <w:rFonts w:ascii="David" w:hAnsi="David"/>
          <w:b/>
          <w:bCs/>
          <w:u w:val="single"/>
          <w:rtl/>
        </w:rPr>
        <w:t>ר'</w:t>
      </w:r>
      <w:r>
        <w:rPr>
          <w:rFonts w:ascii="David" w:hAnsi="David"/>
          <w:b/>
          <w:bCs/>
          <w:u w:val="single"/>
          <w:rtl/>
        </w:rPr>
        <w:t xml:space="preserve"> לא קיים חובתו כעורך הצוואה שבמחלוקת, לברר ולחקור אחר רצונו האמיתי של המנוח</w:t>
      </w:r>
      <w:r>
        <w:rPr>
          <w:rFonts w:ascii="David" w:hAnsi="David"/>
          <w:rtl/>
        </w:rPr>
        <w:t xml:space="preserve"> – בפסק הדין (סעיף 129-130) נדחתה טענה כנ"ל של </w:t>
      </w:r>
      <w:r w:rsidR="000F5BF7">
        <w:rPr>
          <w:rFonts w:ascii="David" w:hAnsi="David"/>
          <w:rtl/>
        </w:rPr>
        <w:t>ס'</w:t>
      </w:r>
      <w:r>
        <w:rPr>
          <w:rFonts w:ascii="David" w:hAnsi="David"/>
          <w:rtl/>
        </w:rPr>
        <w:t>, הגם שבצוואה שבמחלוקת נישל המנוח את שני בניו האחרים, וציווה את כל עזבונו ל</w:t>
      </w:r>
      <w:r w:rsidR="000F5BF7">
        <w:rPr>
          <w:rFonts w:ascii="David" w:hAnsi="David"/>
          <w:rtl/>
        </w:rPr>
        <w:t>ו'</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r>
      <w:r>
        <w:rPr>
          <w:rFonts w:ascii="David" w:hAnsi="David"/>
          <w:u w:val="single"/>
          <w:rtl/>
        </w:rPr>
        <w:t>בנדון ציין בית משפט קמא כך</w:t>
      </w:r>
      <w:r>
        <w:rPr>
          <w:rFonts w:ascii="David" w:hAnsi="David"/>
          <w:rtl/>
        </w:rPr>
        <w:t>:</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"נדמה כי הבסיס עליו נסמך </w:t>
      </w:r>
      <w:r w:rsidR="000F5BF7">
        <w:rPr>
          <w:rFonts w:ascii="David" w:hAnsi="David"/>
          <w:b/>
          <w:bCs/>
          <w:rtl/>
        </w:rPr>
        <w:t>ס'</w:t>
      </w:r>
      <w:r>
        <w:rPr>
          <w:rFonts w:ascii="David" w:hAnsi="David"/>
          <w:b/>
          <w:bCs/>
          <w:rtl/>
        </w:rPr>
        <w:t xml:space="preserve"> בטענה זו הינו טענתו שנדחתה לעיל להיעדר היגיון/ סבירות בצוואה...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אכן על עורך הצוואה לברר את רצון המנוח המצווה בפניו אולם הינו מנוע מהתערבות ברצון המנוח. כאמור לעיל, ביהמ"ש יכבד רצון המצווה אף אם אין הסבר רציונלי בצידו, ככל ואכן היה זה רצונו (עפ"י הקריטריונים שנקבעו בדין).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במקרה דנן, רצון המנוח נמסר לכב' הרשם הבכיר (בדימוס) מר </w:t>
      </w:r>
      <w:r w:rsidR="000F5BF7">
        <w:rPr>
          <w:rFonts w:ascii="David" w:hAnsi="David"/>
          <w:b/>
          <w:bCs/>
          <w:rtl/>
        </w:rPr>
        <w:t>ר'</w:t>
      </w:r>
      <w:r>
        <w:rPr>
          <w:rFonts w:ascii="David" w:hAnsi="David"/>
          <w:b/>
          <w:bCs/>
          <w:rtl/>
        </w:rPr>
        <w:t xml:space="preserve"> (בהיותו עו"ד) ישירות מפי המנוח,  עמו נפגש ושוחח טרם שינה כל אחת מהצוואות ויותר – והוא אף שב והעיד כי רצון המנוח, אשר עמד בבסיס הוראות הצוואה/ות היה מתוך מטרה להיטיב עם הבן </w:t>
      </w:r>
      <w:r>
        <w:rPr>
          <w:rFonts w:ascii="David" w:hAnsi="David"/>
          <w:rtl/>
        </w:rPr>
        <w:t>(</w:t>
      </w:r>
      <w:r w:rsidR="000F5BF7">
        <w:rPr>
          <w:rFonts w:ascii="David" w:hAnsi="David"/>
          <w:rtl/>
        </w:rPr>
        <w:t>ו'</w:t>
      </w:r>
      <w:r>
        <w:rPr>
          <w:rFonts w:ascii="David" w:hAnsi="David"/>
          <w:rtl/>
        </w:rPr>
        <w:t xml:space="preserve"> – ח"ש)</w:t>
      </w:r>
      <w:r>
        <w:rPr>
          <w:rFonts w:ascii="David" w:hAnsi="David"/>
          <w:b/>
          <w:bCs/>
          <w:rtl/>
        </w:rPr>
        <w:t xml:space="preserve"> אשר טיפל בו במסירות שנים רבות...</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 יצויין, כי בכל אחת מהצוואות שנערכו ע"י כב' הרשם הבכיר (בדימוס) מר </w:t>
      </w:r>
      <w:r w:rsidR="000F5BF7">
        <w:rPr>
          <w:rFonts w:ascii="David" w:hAnsi="David"/>
          <w:b/>
          <w:bCs/>
          <w:rtl/>
        </w:rPr>
        <w:t>ר'</w:t>
      </w:r>
      <w:r>
        <w:rPr>
          <w:rFonts w:ascii="David" w:hAnsi="David"/>
          <w:b/>
          <w:bCs/>
          <w:rtl/>
        </w:rPr>
        <w:t xml:space="preserve"> - בחר המנוח שלא לחלק את עזבונו שווה בשווה בין בניו. </w:t>
      </w:r>
    </w:p>
    <w:p w:rsidR="00457B60" w:rsidRDefault="00457B60" w:rsidP="00457B60">
      <w:pPr>
        <w:spacing w:after="120" w:line="360" w:lineRule="auto"/>
        <w:ind w:left="1440" w:right="709"/>
        <w:jc w:val="both"/>
        <w:rPr>
          <w:rFonts w:ascii="David" w:hAnsi="David"/>
          <w:b/>
          <w:bCs/>
          <w:rtl/>
        </w:rPr>
      </w:pPr>
      <w:r>
        <w:rPr>
          <w:rFonts w:ascii="David" w:hAnsi="David"/>
          <w:b/>
          <w:bCs/>
          <w:rtl/>
        </w:rPr>
        <w:t>למעשה, כבר בצוואת מאי 81  ציווה המנוח נתח גדול יותר מעזבונו ל</w:t>
      </w:r>
      <w:r w:rsidR="000F5BF7">
        <w:rPr>
          <w:rFonts w:ascii="David" w:hAnsi="David"/>
          <w:b/>
          <w:bCs/>
          <w:rtl/>
        </w:rPr>
        <w:t>ו'</w:t>
      </w:r>
      <w:r>
        <w:rPr>
          <w:rFonts w:ascii="David" w:hAnsi="David"/>
          <w:b/>
          <w:bCs/>
          <w:rtl/>
        </w:rPr>
        <w:t xml:space="preserve">.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ההבדל בין צוואת מאי 81 לצוואת יולי 81 הינו מינורי יחסית, וודאי לא כזה שיש בו כדי להדליק, כשלעצמו, 'נורה  אדומה' כטענת </w:t>
      </w:r>
      <w:r w:rsidR="000F5BF7">
        <w:rPr>
          <w:rFonts w:ascii="David" w:hAnsi="David"/>
          <w:b/>
          <w:bCs/>
          <w:rtl/>
        </w:rPr>
        <w:t>ס'</w:t>
      </w:r>
      <w:r>
        <w:rPr>
          <w:rFonts w:ascii="David" w:hAnsi="David"/>
          <w:b/>
          <w:bCs/>
          <w:rtl/>
        </w:rPr>
        <w:t xml:space="preserve">.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אף אם לא ניתן להצביע על שינוי דראסטי שחל באותה עת, בין צוואת מאי 81 לבין צוואת אוגוסט 81 – לא הובאה כל ראיה, כי לא היה זה רצונו של המנוח ו/או כי הופעלה עליו השפעה בלתי הוגנת.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סבורני, כי בנסיבות, ובהינתן כי ע"פ עדותו של כב' הרשם הבכיר (בדימוס) מר </w:t>
      </w:r>
      <w:r w:rsidR="000F5BF7">
        <w:rPr>
          <w:rFonts w:ascii="David" w:hAnsi="David"/>
          <w:b/>
          <w:bCs/>
          <w:rtl/>
        </w:rPr>
        <w:t>ר'</w:t>
      </w:r>
      <w:r>
        <w:rPr>
          <w:rFonts w:ascii="David" w:hAnsi="David"/>
          <w:b/>
          <w:bCs/>
          <w:rtl/>
        </w:rPr>
        <w:t xml:space="preserve"> שלא נסתרה, נפגש בכל פעם מחדש עם המנוח כדי לשמוע מפיו רצונו  - יצא ידי חובתו לברר את רצונו של המנוח, ולא נפל פגם בהתנהלותו".</w:t>
      </w:r>
    </w:p>
    <w:p w:rsidR="00457B60" w:rsidRDefault="00457B60" w:rsidP="00457B60">
      <w:pPr>
        <w:spacing w:after="120" w:line="360" w:lineRule="auto"/>
        <w:ind w:left="720" w:hanging="720"/>
        <w:jc w:val="both"/>
        <w:rPr>
          <w:rFonts w:ascii="David" w:hAnsi="David"/>
          <w:rtl/>
        </w:rPr>
      </w:pPr>
      <w:r>
        <w:rPr>
          <w:rFonts w:ascii="David" w:hAnsi="David"/>
          <w:rtl/>
        </w:rPr>
        <w:t>21.</w:t>
      </w:r>
      <w:r>
        <w:rPr>
          <w:rFonts w:ascii="David" w:hAnsi="David"/>
          <w:rtl/>
        </w:rPr>
        <w:tab/>
      </w:r>
      <w:r>
        <w:rPr>
          <w:rFonts w:ascii="David" w:hAnsi="David"/>
          <w:b/>
          <w:bCs/>
          <w:u w:val="single"/>
          <w:rtl/>
        </w:rPr>
        <w:t xml:space="preserve">דחיית טענת השפעה בלתי הוגנת מצד </w:t>
      </w:r>
      <w:r w:rsidR="000F5BF7">
        <w:rPr>
          <w:rFonts w:ascii="David" w:hAnsi="David"/>
          <w:b/>
          <w:bCs/>
          <w:u w:val="single"/>
          <w:rtl/>
        </w:rPr>
        <w:t>ו'</w:t>
      </w:r>
      <w:r>
        <w:rPr>
          <w:rFonts w:ascii="David" w:hAnsi="David"/>
          <w:b/>
          <w:bCs/>
          <w:u w:val="single"/>
          <w:rtl/>
        </w:rPr>
        <w:t xml:space="preserve"> על המנוח בהתייחס לצוואה שבמחלוקת</w:t>
      </w:r>
      <w:r>
        <w:rPr>
          <w:rFonts w:ascii="David" w:hAnsi="David"/>
          <w:rtl/>
        </w:rPr>
        <w:t xml:space="preserve"> – בפסק הדין (סעיפים 131-135) דחה בית משפט קמא את הטענה, כי </w:t>
      </w:r>
      <w:r w:rsidR="000F5BF7">
        <w:rPr>
          <w:rFonts w:ascii="David" w:hAnsi="David"/>
          <w:rtl/>
        </w:rPr>
        <w:t>ו'</w:t>
      </w:r>
      <w:r>
        <w:rPr>
          <w:rFonts w:ascii="David" w:hAnsi="David"/>
          <w:rtl/>
        </w:rPr>
        <w:t xml:space="preserve"> השפיע השפעה בלתי הוגנת על המנוח בכל הקשור לצוואה שבמחלוקת, שאמורה להוביל לבטלות הצוואה מכח סעיף 30(א) לחוק הירושה.</w:t>
      </w:r>
    </w:p>
    <w:p w:rsidR="00457B60" w:rsidRDefault="00457B60" w:rsidP="00457B60">
      <w:pPr>
        <w:spacing w:after="120" w:line="360" w:lineRule="auto"/>
        <w:ind w:left="720" w:hanging="720"/>
        <w:jc w:val="both"/>
        <w:rPr>
          <w:rFonts w:ascii="David" w:hAnsi="David"/>
          <w:rtl/>
        </w:rPr>
      </w:pPr>
      <w:r>
        <w:rPr>
          <w:rFonts w:ascii="David" w:hAnsi="David"/>
          <w:rtl/>
        </w:rPr>
        <w:tab/>
      </w:r>
      <w:r>
        <w:rPr>
          <w:rFonts w:ascii="David" w:hAnsi="David"/>
          <w:u w:val="single"/>
          <w:rtl/>
        </w:rPr>
        <w:t xml:space="preserve">בנדון בחן בית משפט קמא את טענת ההשפעה הבלתי הוגנת לפי מבחני </w:t>
      </w:r>
      <w:r>
        <w:rPr>
          <w:rFonts w:ascii="David" w:hAnsi="David"/>
          <w:b/>
          <w:bCs/>
          <w:u w:val="single"/>
          <w:rtl/>
        </w:rPr>
        <w:t>הלכת מרום</w:t>
      </w:r>
      <w:r>
        <w:rPr>
          <w:rFonts w:ascii="David" w:hAnsi="David"/>
          <w:u w:val="single"/>
          <w:rtl/>
        </w:rPr>
        <w:t xml:space="preserve"> (דנ"א </w:t>
      </w:r>
      <w:r>
        <w:rPr>
          <w:rFonts w:ascii="David" w:hAnsi="David"/>
          <w:b/>
          <w:bCs/>
          <w:u w:val="single"/>
          <w:rtl/>
        </w:rPr>
        <w:t xml:space="preserve">מרום נ' היועמ"ש </w:t>
      </w:r>
      <w:r>
        <w:rPr>
          <w:rFonts w:ascii="David" w:hAnsi="David"/>
          <w:u w:val="single"/>
          <w:rtl/>
        </w:rPr>
        <w:t>פד"י נב(2), 813), ומצא כדלקמן</w:t>
      </w:r>
      <w:r>
        <w:rPr>
          <w:rFonts w:ascii="David" w:hAnsi="David"/>
          <w:rtl/>
        </w:rPr>
        <w:t>:</w:t>
      </w:r>
    </w:p>
    <w:p w:rsidR="00457B60" w:rsidRDefault="00457B60" w:rsidP="00457B60">
      <w:pPr>
        <w:spacing w:after="120" w:line="360" w:lineRule="auto"/>
        <w:ind w:left="1440" w:right="709"/>
        <w:jc w:val="both"/>
        <w:rPr>
          <w:rFonts w:ascii="David" w:hAnsi="David"/>
          <w:b/>
          <w:bCs/>
          <w:rtl/>
        </w:rPr>
      </w:pPr>
      <w:r>
        <w:rPr>
          <w:rFonts w:ascii="David" w:hAnsi="David"/>
          <w:b/>
          <w:bCs/>
          <w:rtl/>
        </w:rPr>
        <w:lastRenderedPageBreak/>
        <w:t>"</w:t>
      </w:r>
      <w:r>
        <w:rPr>
          <w:rFonts w:ascii="David" w:hAnsi="David"/>
          <w:b/>
          <w:bCs/>
          <w:u w:val="single"/>
          <w:rtl/>
        </w:rPr>
        <w:t>מבחן העצמאות</w:t>
      </w:r>
      <w:r>
        <w:rPr>
          <w:rFonts w:ascii="David" w:hAnsi="David"/>
          <w:b/>
          <w:bCs/>
          <w:rtl/>
        </w:rPr>
        <w:t xml:space="preserve"> -  מטענות הצדדים כולם ומהעדויות שנשמעו עלה כי המנוח היה במצב גופני ירוד משך שנים - הגם כי לא הובהר בדיוק מאילו מחלות סבל ו/או מה הביא למצבו זה. המנוח  לא התנהל באופן עצמאי, היה זקוק לעזרה בביצוע פעולות יומיומיות כגון -גילוח, מקלחת, הליכה לשירותים, לבוש...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העדים כולם העידו, כי </w:t>
      </w:r>
      <w:r w:rsidR="000F5BF7">
        <w:rPr>
          <w:rFonts w:ascii="David" w:hAnsi="David"/>
          <w:b/>
          <w:bCs/>
          <w:rtl/>
        </w:rPr>
        <w:t>ו'</w:t>
      </w:r>
      <w:r>
        <w:rPr>
          <w:rFonts w:ascii="David" w:hAnsi="David"/>
          <w:b/>
          <w:bCs/>
          <w:rtl/>
        </w:rPr>
        <w:t xml:space="preserve">, אשר התגורר באותו בניין מגורים טיפל במנוח במסירות ודאג לכל צרכיו ומחסורו, ואף לא עבד תקופה מסוימת בשל כך.  </w:t>
      </w:r>
    </w:p>
    <w:p w:rsidR="00457B60" w:rsidRDefault="000F5BF7" w:rsidP="001F4B28">
      <w:pPr>
        <w:spacing w:after="120" w:line="360" w:lineRule="auto"/>
        <w:ind w:left="1440" w:right="709"/>
        <w:jc w:val="both"/>
        <w:rPr>
          <w:rFonts w:ascii="David" w:hAnsi="David"/>
          <w:b/>
          <w:bCs/>
          <w:rtl/>
        </w:rPr>
      </w:pPr>
      <w:r>
        <w:rPr>
          <w:rFonts w:ascii="David" w:hAnsi="David"/>
          <w:b/>
          <w:bCs/>
          <w:rtl/>
        </w:rPr>
        <w:t>ס'</w:t>
      </w:r>
      <w:r w:rsidR="00457B60">
        <w:rPr>
          <w:rFonts w:ascii="David" w:hAnsi="David"/>
          <w:b/>
          <w:bCs/>
          <w:rtl/>
        </w:rPr>
        <w:t xml:space="preserve"> ו</w:t>
      </w:r>
      <w:r>
        <w:rPr>
          <w:rFonts w:ascii="David" w:hAnsi="David"/>
          <w:b/>
          <w:bCs/>
          <w:rtl/>
        </w:rPr>
        <w:t>מ'</w:t>
      </w:r>
      <w:r w:rsidR="00457B60">
        <w:rPr>
          <w:rFonts w:ascii="David" w:hAnsi="David"/>
          <w:b/>
          <w:bCs/>
          <w:rtl/>
        </w:rPr>
        <w:t xml:space="preserve"> אף תיארו את </w:t>
      </w:r>
      <w:r>
        <w:rPr>
          <w:rFonts w:ascii="David" w:hAnsi="David"/>
          <w:b/>
          <w:bCs/>
          <w:rtl/>
        </w:rPr>
        <w:t>ו'</w:t>
      </w:r>
      <w:r w:rsidR="00457B60">
        <w:rPr>
          <w:rFonts w:ascii="David" w:hAnsi="David"/>
          <w:b/>
          <w:bCs/>
          <w:rtl/>
        </w:rPr>
        <w:t xml:space="preserve"> כמי ששרת את המנוח...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סיועו של </w:t>
      </w:r>
      <w:r w:rsidR="000F5BF7">
        <w:rPr>
          <w:rFonts w:ascii="David" w:hAnsi="David"/>
          <w:b/>
          <w:bCs/>
          <w:rtl/>
        </w:rPr>
        <w:t>ס'</w:t>
      </w:r>
      <w:r>
        <w:rPr>
          <w:rFonts w:ascii="David" w:hAnsi="David"/>
          <w:b/>
          <w:bCs/>
          <w:rtl/>
        </w:rPr>
        <w:t xml:space="preserve"> למנוח הצטמצם לכדי הסעת המנוח, שכן ל</w:t>
      </w:r>
      <w:r w:rsidR="000F5BF7">
        <w:rPr>
          <w:rFonts w:ascii="David" w:hAnsi="David"/>
          <w:b/>
          <w:bCs/>
          <w:rtl/>
        </w:rPr>
        <w:t>ו'</w:t>
      </w:r>
      <w:r>
        <w:rPr>
          <w:rFonts w:ascii="David" w:hAnsi="David"/>
          <w:b/>
          <w:bCs/>
          <w:rtl/>
        </w:rPr>
        <w:t xml:space="preserve"> לא היה רכב. </w:t>
      </w:r>
    </w:p>
    <w:p w:rsidR="00457B60" w:rsidRDefault="00457B60" w:rsidP="00457B60">
      <w:pPr>
        <w:spacing w:after="120" w:line="360" w:lineRule="auto"/>
        <w:ind w:left="1440" w:right="709"/>
        <w:jc w:val="both"/>
        <w:rPr>
          <w:rFonts w:ascii="David" w:hAnsi="David"/>
          <w:b/>
          <w:bCs/>
          <w:rtl/>
        </w:rPr>
      </w:pPr>
      <w:r>
        <w:rPr>
          <w:rFonts w:ascii="David" w:hAnsi="David"/>
          <w:b/>
          <w:bCs/>
          <w:u w:val="single"/>
          <w:rtl/>
        </w:rPr>
        <w:t>מבחן התלות והסיוע</w:t>
      </w:r>
      <w:r>
        <w:rPr>
          <w:rFonts w:ascii="David" w:hAnsi="David"/>
          <w:b/>
          <w:bCs/>
          <w:rtl/>
        </w:rPr>
        <w:t xml:space="preserve">  - הגם כי אין חולק באשר לתלותו הפיזית של המנוח ב</w:t>
      </w:r>
      <w:r w:rsidR="000F5BF7">
        <w:rPr>
          <w:rFonts w:ascii="David" w:hAnsi="David"/>
          <w:b/>
          <w:bCs/>
          <w:rtl/>
        </w:rPr>
        <w:t>ו'</w:t>
      </w:r>
      <w:r>
        <w:rPr>
          <w:rFonts w:ascii="David" w:hAnsi="David"/>
          <w:b/>
          <w:bCs/>
          <w:rtl/>
        </w:rPr>
        <w:t xml:space="preserve">, אין בכך בלבד כדי ללמוד על יחסים החורגים מיחסי קרבה, אמון ודאגה הנהוגים בין אב לבנו על אחת כמה וכמה נוכח טיפולו בו ו/או על קיומה של השפעה בלתי הוגנת שהופעלה על המנוח.   </w:t>
      </w:r>
    </w:p>
    <w:p w:rsidR="00457B60" w:rsidRDefault="000F5BF7" w:rsidP="00457B60">
      <w:pPr>
        <w:spacing w:after="120" w:line="360" w:lineRule="auto"/>
        <w:ind w:left="1440" w:right="709"/>
        <w:jc w:val="both"/>
        <w:rPr>
          <w:rFonts w:ascii="David" w:hAnsi="David"/>
          <w:b/>
          <w:bCs/>
          <w:rtl/>
        </w:rPr>
      </w:pPr>
      <w:r>
        <w:rPr>
          <w:rFonts w:ascii="David" w:hAnsi="David"/>
          <w:b/>
          <w:bCs/>
          <w:rtl/>
        </w:rPr>
        <w:t>ס'</w:t>
      </w:r>
      <w:r w:rsidR="00457B60">
        <w:rPr>
          <w:rFonts w:ascii="David" w:hAnsi="David"/>
          <w:b/>
          <w:bCs/>
          <w:rtl/>
        </w:rPr>
        <w:t xml:space="preserve"> עצמו טען, כי טיפול </w:t>
      </w:r>
      <w:r>
        <w:rPr>
          <w:rFonts w:ascii="David" w:hAnsi="David"/>
          <w:b/>
          <w:bCs/>
          <w:rtl/>
        </w:rPr>
        <w:t>ו'</w:t>
      </w:r>
      <w:r w:rsidR="00457B60">
        <w:rPr>
          <w:rFonts w:ascii="David" w:hAnsi="David"/>
          <w:b/>
          <w:bCs/>
          <w:rtl/>
        </w:rPr>
        <w:t xml:space="preserve"> במנוח היה בשנה ומחצה טרם פטירתו (קרי החל מ1982) וכי קודם לכן היה בסדר... – הצוואות כאמור נערכו במחצית 1981.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לא הובהר, האם המנוח נדרש לסיוע בפעולות שאינן פעולות פיזיות/יומיות -  כך לדוגמא, האם היה מסוגל לנהל רכושו ו/או אדמותיו? האם נדרש לסיוע בניהול חשבונו ו/או כספיו?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כאמור לעיל, כב' הרשם הבכיר (בדימוס) מר </w:t>
      </w:r>
      <w:r w:rsidR="000F5BF7">
        <w:rPr>
          <w:rFonts w:ascii="David" w:hAnsi="David"/>
          <w:b/>
          <w:bCs/>
          <w:rtl/>
        </w:rPr>
        <w:t>ר'</w:t>
      </w:r>
      <w:r>
        <w:rPr>
          <w:rFonts w:ascii="David" w:hAnsi="David"/>
          <w:b/>
          <w:bCs/>
          <w:rtl/>
        </w:rPr>
        <w:t xml:space="preserve"> העיד, כי המנוח הוא שהביע בפניו את רצונותיו בכל הנוגע לצוואתו, שלוש פעמים.  </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כאמור, אף מעדותם של יתר העדים עולה כי התרשמו בדבר היות המנוח כשיר, ויודע רצונותיו. מר מתא אף העיד כי המנוח נדרש לשכנע אותו על מנת שיחתום כעד קיום לצוואה. </w:t>
      </w:r>
    </w:p>
    <w:p w:rsidR="00457B60" w:rsidRDefault="00457B60" w:rsidP="00457B60">
      <w:pPr>
        <w:spacing w:after="120" w:line="360" w:lineRule="auto"/>
        <w:ind w:left="1440" w:right="709"/>
        <w:jc w:val="both"/>
        <w:rPr>
          <w:rFonts w:ascii="David" w:hAnsi="David"/>
          <w:b/>
          <w:bCs/>
          <w:rtl/>
        </w:rPr>
      </w:pPr>
      <w:r>
        <w:rPr>
          <w:rFonts w:ascii="David" w:hAnsi="David"/>
          <w:b/>
          <w:bCs/>
          <w:u w:val="single"/>
          <w:rtl/>
        </w:rPr>
        <w:t>קשרי המצווה עם אחרים</w:t>
      </w:r>
      <w:r>
        <w:rPr>
          <w:rFonts w:ascii="David" w:hAnsi="David"/>
          <w:b/>
          <w:bCs/>
          <w:rtl/>
        </w:rPr>
        <w:t xml:space="preserve"> – לא הוכח כי המנוח נותק מקשר/מפגש עם אנשים אחרים. </w:t>
      </w:r>
    </w:p>
    <w:p w:rsidR="00457B60" w:rsidRDefault="00457B60" w:rsidP="00457B60">
      <w:pPr>
        <w:spacing w:after="120" w:line="360" w:lineRule="auto"/>
        <w:ind w:left="1440" w:right="709"/>
        <w:jc w:val="both"/>
        <w:rPr>
          <w:rFonts w:ascii="David" w:hAnsi="David"/>
          <w:b/>
          <w:bCs/>
          <w:rtl/>
        </w:rPr>
      </w:pPr>
      <w:r>
        <w:rPr>
          <w:rFonts w:ascii="David" w:hAnsi="David"/>
          <w:b/>
          <w:bCs/>
          <w:rtl/>
        </w:rPr>
        <w:t>בני המשפחה כולם – המנוח, ו- 3 ילדיו (הצדדים כאן) ובני משפחותיהם – התגוררו כולם באותו בניין מגורים (בדירות נפרדות).</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לא מצאתי, כי נמנע ממי מהם ליצור קשר עם המנוח –נהפוך הוא, </w:t>
      </w:r>
      <w:r w:rsidR="000F5BF7">
        <w:rPr>
          <w:rFonts w:ascii="David" w:hAnsi="David"/>
          <w:b/>
          <w:bCs/>
          <w:rtl/>
        </w:rPr>
        <w:t>ס'</w:t>
      </w:r>
      <w:r>
        <w:rPr>
          <w:rFonts w:ascii="David" w:hAnsi="David"/>
          <w:b/>
          <w:bCs/>
          <w:rtl/>
        </w:rPr>
        <w:t xml:space="preserve"> ו</w:t>
      </w:r>
      <w:r w:rsidR="000F5BF7">
        <w:rPr>
          <w:rFonts w:ascii="David" w:hAnsi="David"/>
          <w:b/>
          <w:bCs/>
          <w:rtl/>
        </w:rPr>
        <w:t>מ'</w:t>
      </w:r>
      <w:r>
        <w:rPr>
          <w:rFonts w:ascii="David" w:hAnsi="David"/>
          <w:b/>
          <w:bCs/>
          <w:rtl/>
        </w:rPr>
        <w:t xml:space="preserve"> העידו כי היו מגיעים לבקרו, ואף הנכדים העידו כי ביקרו אותו. יתרה מכך, </w:t>
      </w:r>
      <w:r w:rsidR="000F5BF7">
        <w:rPr>
          <w:rFonts w:ascii="David" w:hAnsi="David"/>
          <w:b/>
          <w:bCs/>
          <w:rtl/>
        </w:rPr>
        <w:t>ס'</w:t>
      </w:r>
      <w:r>
        <w:rPr>
          <w:rFonts w:ascii="David" w:hAnsi="David"/>
          <w:b/>
          <w:bCs/>
          <w:rtl/>
        </w:rPr>
        <w:t xml:space="preserve"> שב וטען, ... לקיומו של קשר קרוב בינו ובין המנוח. </w:t>
      </w:r>
    </w:p>
    <w:p w:rsidR="00457B60" w:rsidRDefault="001F4B28" w:rsidP="00457B60">
      <w:pPr>
        <w:spacing w:after="120" w:line="360" w:lineRule="auto"/>
        <w:ind w:left="1440" w:right="709"/>
        <w:jc w:val="both"/>
        <w:rPr>
          <w:rFonts w:ascii="David" w:hAnsi="David"/>
          <w:b/>
          <w:bCs/>
          <w:rtl/>
        </w:rPr>
      </w:pPr>
      <w:r>
        <w:rPr>
          <w:rFonts w:ascii="David" w:hAnsi="David"/>
          <w:b/>
          <w:bCs/>
          <w:rtl/>
        </w:rPr>
        <w:t>ר' גם עדות העד ר</w:t>
      </w:r>
      <w:r>
        <w:rPr>
          <w:rFonts w:ascii="David" w:hAnsi="David" w:hint="cs"/>
          <w:b/>
          <w:bCs/>
          <w:rtl/>
        </w:rPr>
        <w:t>. ד. ע</w:t>
      </w:r>
      <w:r w:rsidR="00457B60">
        <w:rPr>
          <w:rFonts w:ascii="David" w:hAnsi="David"/>
          <w:b/>
          <w:bCs/>
          <w:rtl/>
        </w:rPr>
        <w:t>, אשר העיד כי ביקר אצל המנוח בתדירות גבוהה... וכך גם עדות העד מר מתא, שהעיד בדומה וכן כי המנוח היה נוהג לנגן בעוד ולשיר...</w:t>
      </w:r>
    </w:p>
    <w:p w:rsidR="00457B60" w:rsidRDefault="00457B60" w:rsidP="00484611">
      <w:pPr>
        <w:spacing w:after="120" w:line="360" w:lineRule="auto"/>
        <w:ind w:left="1440" w:right="709"/>
        <w:jc w:val="both"/>
        <w:rPr>
          <w:rFonts w:ascii="David" w:hAnsi="David"/>
          <w:b/>
          <w:bCs/>
          <w:rtl/>
        </w:rPr>
      </w:pPr>
      <w:r>
        <w:rPr>
          <w:rFonts w:ascii="David" w:hAnsi="David"/>
          <w:b/>
          <w:bCs/>
          <w:u w:val="single"/>
          <w:rtl/>
        </w:rPr>
        <w:lastRenderedPageBreak/>
        <w:t>נסיבות עריכת הצוואה</w:t>
      </w:r>
      <w:r>
        <w:rPr>
          <w:rFonts w:ascii="David" w:hAnsi="David"/>
          <w:b/>
          <w:bCs/>
          <w:rtl/>
        </w:rPr>
        <w:t>- כמפורט לעיל, לא הוכח כי ל</w:t>
      </w:r>
      <w:r w:rsidR="000F5BF7">
        <w:rPr>
          <w:rFonts w:ascii="David" w:hAnsi="David"/>
          <w:b/>
          <w:bCs/>
          <w:rtl/>
        </w:rPr>
        <w:t>ו'</w:t>
      </w:r>
      <w:r>
        <w:rPr>
          <w:rFonts w:ascii="David" w:hAnsi="David"/>
          <w:b/>
          <w:bCs/>
          <w:rtl/>
        </w:rPr>
        <w:t xml:space="preserve"> מעורבות כלשהי בעריכת הצוואה".</w:t>
      </w:r>
    </w:p>
    <w:p w:rsidR="00457B60" w:rsidRDefault="00457B60" w:rsidP="00457B60">
      <w:pPr>
        <w:spacing w:after="120" w:line="360" w:lineRule="auto"/>
        <w:ind w:right="709"/>
        <w:jc w:val="both"/>
        <w:rPr>
          <w:rFonts w:ascii="David" w:hAnsi="David"/>
          <w:rtl/>
        </w:rPr>
      </w:pPr>
      <w:r>
        <w:rPr>
          <w:rFonts w:ascii="David" w:hAnsi="David"/>
          <w:b/>
          <w:bCs/>
          <w:rtl/>
        </w:rPr>
        <w:tab/>
      </w:r>
      <w:r>
        <w:rPr>
          <w:rFonts w:ascii="David" w:hAnsi="David"/>
          <w:u w:val="single"/>
          <w:rtl/>
        </w:rPr>
        <w:t>במצב דברים זה ציין בית המשפט קמא כי</w:t>
      </w:r>
      <w:r>
        <w:rPr>
          <w:rFonts w:ascii="David" w:hAnsi="David"/>
          <w:rtl/>
        </w:rPr>
        <w:t>:</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"...מהאמור לעיל עולה, כי </w:t>
      </w:r>
      <w:r w:rsidR="000F5BF7">
        <w:rPr>
          <w:rFonts w:ascii="David" w:hAnsi="David"/>
          <w:b/>
          <w:bCs/>
          <w:rtl/>
        </w:rPr>
        <w:t>ס'</w:t>
      </w:r>
      <w:r>
        <w:rPr>
          <w:rFonts w:ascii="David" w:hAnsi="David"/>
          <w:b/>
          <w:bCs/>
          <w:rtl/>
        </w:rPr>
        <w:t xml:space="preserve"> לא הרים את הנטל המוטל עליו להוכיח טענותיו לעניין השפעה בלתי הוגנת, ולא הוכיח התקיימות התנאים לקביעת קיומה של השפעה בלתי הוגנת על המנוח...".</w:t>
      </w:r>
    </w:p>
    <w:p w:rsidR="00457B60" w:rsidRDefault="00457B60" w:rsidP="00457B60">
      <w:pPr>
        <w:spacing w:after="120" w:line="360" w:lineRule="auto"/>
        <w:ind w:left="720" w:hanging="720"/>
        <w:jc w:val="both"/>
        <w:rPr>
          <w:rFonts w:ascii="David" w:hAnsi="David"/>
          <w:rtl/>
        </w:rPr>
      </w:pPr>
      <w:r>
        <w:rPr>
          <w:rFonts w:ascii="David" w:hAnsi="David"/>
          <w:rtl/>
        </w:rPr>
        <w:t>22.</w:t>
      </w:r>
      <w:r>
        <w:rPr>
          <w:rFonts w:ascii="David" w:hAnsi="David"/>
          <w:rtl/>
        </w:rPr>
        <w:tab/>
      </w:r>
      <w:r>
        <w:rPr>
          <w:rFonts w:ascii="David" w:hAnsi="David"/>
          <w:u w:val="single"/>
          <w:rtl/>
        </w:rPr>
        <w:t xml:space="preserve">לנוכח כל זאת דחה בית משפט קמא את בקשתו של </w:t>
      </w:r>
      <w:r w:rsidR="000F5BF7">
        <w:rPr>
          <w:rFonts w:ascii="David" w:hAnsi="David"/>
          <w:u w:val="single"/>
          <w:rtl/>
        </w:rPr>
        <w:t>ס'</w:t>
      </w:r>
      <w:r>
        <w:rPr>
          <w:rFonts w:ascii="David" w:hAnsi="David"/>
          <w:u w:val="single"/>
          <w:rtl/>
        </w:rPr>
        <w:t xml:space="preserve"> להורות על ביטול צו קיום הצוואה, תוך שהוסיף כדלקמן</w:t>
      </w:r>
      <w:r>
        <w:rPr>
          <w:rFonts w:ascii="David" w:hAnsi="David"/>
          <w:rtl/>
        </w:rPr>
        <w:t>:</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 נדמה, כי חטאם הקדמון של הצדדים, היה הצהרתם הכוזבת בפני בית הדין הכנסייתי לפיה המנוח לא הותיר אחריו צוואה – תחת שיודיעו על קיומה של צוואה, יודיעו על ההסכמות אליהן הגיעו ויפעלו ליתן תוקף להסכמות אלו. </w:t>
      </w:r>
    </w:p>
    <w:p w:rsidR="00457B60" w:rsidRDefault="00457B60" w:rsidP="00457B60">
      <w:pPr>
        <w:spacing w:after="120" w:line="360" w:lineRule="auto"/>
        <w:ind w:left="1440" w:right="709"/>
        <w:jc w:val="both"/>
        <w:rPr>
          <w:rFonts w:ascii="David" w:hAnsi="David"/>
          <w:rtl/>
        </w:rPr>
      </w:pPr>
      <w:r>
        <w:rPr>
          <w:rFonts w:ascii="David" w:hAnsi="David"/>
          <w:b/>
          <w:bCs/>
          <w:rtl/>
        </w:rPr>
        <w:t xml:space="preserve">לכאורה בהליך זה מבקשים הצדדים מביהמ"ש כי 'יתקן' בדיעבד את הפגמים שנפלו בהתנהלותם במשך  4 עשורים, ויירפא את מחדליהם (בלשון המעטה)" </w:t>
      </w:r>
      <w:r>
        <w:rPr>
          <w:rFonts w:ascii="David" w:hAnsi="David"/>
          <w:rtl/>
        </w:rPr>
        <w:t>(ציטוט מסעיף 137 לפסק הדין).</w:t>
      </w:r>
    </w:p>
    <w:p w:rsidR="00457B60" w:rsidRDefault="00457B60" w:rsidP="00457B60">
      <w:pPr>
        <w:spacing w:after="120" w:line="360" w:lineRule="auto"/>
        <w:ind w:left="720" w:hanging="720"/>
        <w:jc w:val="both"/>
        <w:rPr>
          <w:rFonts w:ascii="David" w:hAnsi="David"/>
          <w:rtl/>
        </w:rPr>
      </w:pPr>
      <w:r>
        <w:rPr>
          <w:rFonts w:ascii="David" w:hAnsi="David"/>
          <w:rtl/>
        </w:rPr>
        <w:t>23.</w:t>
      </w:r>
      <w:r>
        <w:rPr>
          <w:rFonts w:ascii="David" w:hAnsi="David"/>
          <w:rtl/>
        </w:rPr>
        <w:tab/>
      </w:r>
      <w:r>
        <w:rPr>
          <w:rFonts w:ascii="David" w:hAnsi="David"/>
          <w:u w:val="single"/>
          <w:rtl/>
        </w:rPr>
        <w:t>בית משפט קמא גם היה מודע לבעייתיות שבהותרת צו קיום הצוואה על כנו, לנוכח הסכם החלוקה ופעולת הצדדים על פיו לאורך השנים, וציין כדלקמן</w:t>
      </w:r>
      <w:r>
        <w:rPr>
          <w:rFonts w:ascii="David" w:hAnsi="David"/>
          <w:rtl/>
        </w:rPr>
        <w:t xml:space="preserve">: </w:t>
      </w:r>
    </w:p>
    <w:p w:rsidR="00457B60" w:rsidRDefault="00457B60" w:rsidP="00457B60">
      <w:pPr>
        <w:spacing w:after="120" w:line="360" w:lineRule="auto"/>
        <w:ind w:left="1440" w:right="709"/>
        <w:jc w:val="both"/>
        <w:rPr>
          <w:rFonts w:ascii="David" w:hAnsi="David"/>
          <w:rtl/>
        </w:rPr>
      </w:pPr>
      <w:r>
        <w:rPr>
          <w:rFonts w:ascii="David" w:hAnsi="David"/>
          <w:b/>
          <w:bCs/>
          <w:rtl/>
        </w:rPr>
        <w:t>"... הגם כי אין המדובר בהליך שנועד לבירור היקף עזבונו של המנוח, והגם כי פסק דין שלעיל מבוסס על אדני החוק והפסיקה  ותוצאתו בעינה עומדת - אין חולק באשר להסכמת הצדדים בכתב על חלוקת עזבונו של המנוח, על אף הוראות הצוואה/ות שהותיר אחריו המנוח..</w:t>
      </w:r>
      <w:r>
        <w:rPr>
          <w:rFonts w:ascii="David" w:hAnsi="David"/>
          <w:rtl/>
        </w:rPr>
        <w:t>.</w:t>
      </w:r>
    </w:p>
    <w:p w:rsidR="00457B60" w:rsidRDefault="00457B60" w:rsidP="00457B60">
      <w:pPr>
        <w:spacing w:after="120" w:line="360" w:lineRule="auto"/>
        <w:ind w:left="1440" w:right="709"/>
        <w:jc w:val="both"/>
        <w:rPr>
          <w:rFonts w:ascii="David" w:hAnsi="David"/>
          <w:b/>
          <w:bCs/>
          <w:rtl/>
        </w:rPr>
      </w:pPr>
      <w:r>
        <w:rPr>
          <w:rFonts w:ascii="David" w:hAnsi="David"/>
          <w:b/>
          <w:bCs/>
          <w:rtl/>
        </w:rPr>
        <w:t xml:space="preserve">...לא נעלם מעיני כי תוצאת הכרעתי בהליך זה, ולפיה צו קיום הצוואה נותר בעינו - יוצרת קושי פרקטי של ממש, נוכח הטענות לשימוש בפועל של כל אחד מהאחים בחלקות שהועברו לחזקתו/שליטתו [ובין היתר- עיבוד חלקות, מכירת חלקו לצ"ג על יסוד רישום צו הירושה בפנקסים, הסדרת חלקות, ובניית </w:t>
      </w:r>
      <w:r w:rsidR="000F5BF7">
        <w:rPr>
          <w:rFonts w:ascii="David" w:hAnsi="David"/>
          <w:b/>
          <w:bCs/>
          <w:rtl/>
        </w:rPr>
        <w:t>ס'</w:t>
      </w:r>
      <w:r>
        <w:rPr>
          <w:rFonts w:ascii="David" w:hAnsi="David"/>
          <w:b/>
          <w:bCs/>
          <w:rtl/>
        </w:rPr>
        <w:t xml:space="preserve"> את ביתו על גבי אחת החלקות בהסכמת האחים]. </w:t>
      </w:r>
    </w:p>
    <w:p w:rsidR="00457B60" w:rsidRDefault="00457B60" w:rsidP="00457B60">
      <w:pPr>
        <w:spacing w:after="120" w:line="360" w:lineRule="auto"/>
        <w:ind w:left="1440" w:right="709"/>
        <w:jc w:val="both"/>
        <w:rPr>
          <w:rFonts w:ascii="David" w:hAnsi="David"/>
          <w:rtl/>
        </w:rPr>
      </w:pPr>
      <w:r>
        <w:rPr>
          <w:rFonts w:ascii="David" w:hAnsi="David"/>
          <w:b/>
          <w:bCs/>
          <w:rtl/>
        </w:rPr>
        <w:t xml:space="preserve">... ועל אף כל האמור, לא ניתן לברר במסגרת הליך זה, כאמור, טענות הצדדים לגבי תוקפן של ההסכמות אליהן הגיעו, בטלותן ו/או אכיפתן, ובהיעדר תובענה נפרדת לעניין זה" </w:t>
      </w:r>
      <w:r>
        <w:rPr>
          <w:rFonts w:ascii="David" w:hAnsi="David"/>
          <w:rtl/>
        </w:rPr>
        <w:t xml:space="preserve">(ציטוט מסעיפים 138-140 לפסק הדין). </w:t>
      </w:r>
    </w:p>
    <w:p w:rsidR="00457B60" w:rsidRDefault="00457B60" w:rsidP="00457B60">
      <w:pPr>
        <w:spacing w:after="120" w:line="360" w:lineRule="auto"/>
        <w:ind w:left="1440" w:right="709"/>
        <w:jc w:val="both"/>
        <w:rPr>
          <w:rFonts w:ascii="David" w:hAnsi="David"/>
          <w:rtl/>
        </w:rPr>
      </w:pPr>
    </w:p>
    <w:p w:rsidR="00A57BF2" w:rsidRDefault="00A57BF2" w:rsidP="00457B60">
      <w:pPr>
        <w:spacing w:after="120" w:line="360" w:lineRule="auto"/>
        <w:ind w:right="709"/>
        <w:jc w:val="both"/>
        <w:rPr>
          <w:rFonts w:ascii="David" w:hAnsi="David"/>
          <w:b/>
          <w:bCs/>
          <w:u w:val="single"/>
          <w:rtl/>
        </w:rPr>
      </w:pPr>
    </w:p>
    <w:p w:rsidR="00457B60" w:rsidRDefault="00457B60" w:rsidP="00457B60">
      <w:pPr>
        <w:spacing w:after="120" w:line="360" w:lineRule="auto"/>
        <w:ind w:right="709"/>
        <w:jc w:val="both"/>
        <w:rPr>
          <w:rFonts w:ascii="David" w:hAnsi="David"/>
          <w:u w:val="single"/>
          <w:rtl/>
        </w:rPr>
      </w:pPr>
      <w:r>
        <w:rPr>
          <w:rFonts w:ascii="David" w:hAnsi="David"/>
          <w:b/>
          <w:bCs/>
          <w:u w:val="single"/>
          <w:rtl/>
        </w:rPr>
        <w:lastRenderedPageBreak/>
        <w:t xml:space="preserve">טענותיו של </w:t>
      </w:r>
      <w:r w:rsidR="000F5BF7">
        <w:rPr>
          <w:rFonts w:ascii="David" w:hAnsi="David"/>
          <w:b/>
          <w:bCs/>
          <w:u w:val="single"/>
          <w:rtl/>
        </w:rPr>
        <w:t>מ'</w:t>
      </w:r>
      <w:r>
        <w:rPr>
          <w:rFonts w:ascii="David" w:hAnsi="David"/>
          <w:b/>
          <w:bCs/>
          <w:u w:val="single"/>
          <w:rtl/>
        </w:rPr>
        <w:t xml:space="preserve"> בערעורו</w:t>
      </w:r>
      <w:r>
        <w:rPr>
          <w:rFonts w:ascii="David" w:hAnsi="David"/>
          <w:u w:val="single"/>
          <w:rtl/>
        </w:rPr>
        <w:t xml:space="preserve"> (עמ"ש 51377-12-23)</w:t>
      </w:r>
    </w:p>
    <w:p w:rsidR="00457B60" w:rsidRDefault="00457B60" w:rsidP="00457B60">
      <w:pPr>
        <w:spacing w:after="120" w:line="360" w:lineRule="auto"/>
        <w:ind w:right="709"/>
        <w:jc w:val="both"/>
        <w:rPr>
          <w:rFonts w:ascii="David" w:hAnsi="David"/>
          <w:rtl/>
        </w:rPr>
      </w:pPr>
      <w:r>
        <w:rPr>
          <w:rFonts w:ascii="David" w:hAnsi="David"/>
          <w:rtl/>
        </w:rPr>
        <w:t xml:space="preserve">24. </w:t>
      </w:r>
      <w:r>
        <w:rPr>
          <w:rFonts w:ascii="David" w:hAnsi="David"/>
          <w:rtl/>
        </w:rPr>
        <w:tab/>
      </w:r>
      <w:r>
        <w:rPr>
          <w:rFonts w:ascii="David" w:hAnsi="David"/>
          <w:b/>
          <w:bCs/>
          <w:u w:val="single"/>
          <w:rtl/>
        </w:rPr>
        <w:t>ויתור, השתק, מניעות, שיהוי וחוסר תום לב</w:t>
      </w:r>
      <w:r>
        <w:rPr>
          <w:rFonts w:ascii="David" w:hAnsi="David"/>
          <w:rtl/>
        </w:rPr>
        <w:t>:</w:t>
      </w:r>
    </w:p>
    <w:p w:rsidR="00457B60" w:rsidRDefault="00457B60" w:rsidP="00457B60">
      <w:pPr>
        <w:spacing w:after="120" w:line="360" w:lineRule="auto"/>
        <w:ind w:left="720"/>
        <w:jc w:val="both"/>
        <w:rPr>
          <w:rFonts w:ascii="David" w:hAnsi="David"/>
          <w:rtl/>
        </w:rPr>
      </w:pPr>
      <w:r>
        <w:rPr>
          <w:rFonts w:ascii="David" w:hAnsi="David"/>
          <w:rtl/>
        </w:rPr>
        <w:t>טעה בית משפט קמא כשקבע שלא ניתן לברר במסגרת ההלך קמא את טענות הצדדים ביחס לתוקפו של הסכם החלוקה, בהעדר תביעה נפרדת בענין זה. זאת למרות קביעתו (בסעיף 138 לפסק הדין) כי אין חולק שהצדדים הגיעו לידי הסכם חלוקה למרות הוראות הצוואות.</w:t>
      </w:r>
    </w:p>
    <w:p w:rsidR="00457B60" w:rsidRDefault="00457B60" w:rsidP="00457B60">
      <w:pPr>
        <w:spacing w:after="120" w:line="360" w:lineRule="auto"/>
        <w:ind w:left="720"/>
        <w:jc w:val="both"/>
        <w:rPr>
          <w:rFonts w:ascii="David" w:hAnsi="David"/>
          <w:rtl/>
        </w:rPr>
      </w:pPr>
      <w:r>
        <w:rPr>
          <w:rFonts w:ascii="David" w:hAnsi="David"/>
          <w:rtl/>
        </w:rPr>
        <w:t>בנדון טעותו של בית משפט בכך, שהכרעה בדבר תוקפו של הסכם החלוקה היא במהותה הכרעה בדבר זהות יורשי המנוח (להבדיל ממחלוקת בדבר היקף העזבון).</w:t>
      </w:r>
    </w:p>
    <w:p w:rsidR="00457B60" w:rsidRDefault="00457B60" w:rsidP="00457B60">
      <w:pPr>
        <w:spacing w:after="120" w:line="360" w:lineRule="auto"/>
        <w:ind w:left="720"/>
        <w:jc w:val="both"/>
        <w:rPr>
          <w:rFonts w:ascii="David" w:hAnsi="David"/>
          <w:rtl/>
        </w:rPr>
      </w:pPr>
      <w:r>
        <w:rPr>
          <w:rFonts w:ascii="David" w:hAnsi="David"/>
          <w:u w:val="single"/>
          <w:rtl/>
        </w:rPr>
        <w:t>בנדון היה על בית משפט לבטל את צו קיום הצוואה, ואף לקבוע כי לא היה מקום ליתן צו קיום צוואה מלכתחילה, בשל הנימוקים הבאים, בהם נמנע מלדון ולהכריע</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t>א.</w:t>
      </w:r>
      <w:r>
        <w:rPr>
          <w:rFonts w:ascii="David" w:hAnsi="David"/>
          <w:rtl/>
        </w:rPr>
        <w:tab/>
        <w:t xml:space="preserve">הצדדים כרתו בניהם הסכם (הסכם החלוקה) ואותו עליהם לקיים. הסכם החלוקה לא בוטל מעולם ובית המשפט אף אישר את תוקפו בסעיף 138 לפסק הדין. </w:t>
      </w:r>
    </w:p>
    <w:p w:rsidR="00457B60" w:rsidRDefault="00457B60" w:rsidP="00457B60">
      <w:pPr>
        <w:spacing w:after="120" w:line="360" w:lineRule="auto"/>
        <w:ind w:left="1440" w:hanging="720"/>
        <w:jc w:val="both"/>
        <w:rPr>
          <w:rFonts w:ascii="David" w:hAnsi="David"/>
          <w:rtl/>
        </w:rPr>
      </w:pPr>
      <w:r>
        <w:rPr>
          <w:rFonts w:ascii="David" w:hAnsi="David"/>
          <w:rtl/>
        </w:rPr>
        <w:t>ב.</w:t>
      </w:r>
      <w:r>
        <w:rPr>
          <w:rFonts w:ascii="David" w:hAnsi="David"/>
          <w:rtl/>
        </w:rPr>
        <w:tab/>
        <w:t xml:space="preserve">בעקבות הסכם החלוקה ניתן צו ירושה מוסכם, המהווה אקט מנהלי שנועד לביצוע ויישום הסכם החלוקה. אמנם צו הירושה בוטל על ידי בית הדין הכנסייתי, אך על החלטה זאת תלוי ועומד ערעור שהוגש לבית הדין לערעורים. אפילו נאמר כי צו הירושה בוטל הסכם החלוקה לא בוטל, ועומד בתוקפו, ועל הצדדים לקיימו. </w:t>
      </w:r>
    </w:p>
    <w:p w:rsidR="00457B60" w:rsidRDefault="00457B60" w:rsidP="00457B60">
      <w:pPr>
        <w:spacing w:after="120" w:line="360" w:lineRule="auto"/>
        <w:ind w:left="1440" w:hanging="720"/>
        <w:jc w:val="both"/>
        <w:rPr>
          <w:rFonts w:ascii="David" w:hAnsi="David"/>
          <w:rtl/>
        </w:rPr>
      </w:pPr>
      <w:r>
        <w:rPr>
          <w:rFonts w:ascii="David" w:hAnsi="David"/>
          <w:rtl/>
        </w:rPr>
        <w:t>ג.</w:t>
      </w:r>
      <w:r>
        <w:rPr>
          <w:rFonts w:ascii="David" w:hAnsi="David"/>
          <w:rtl/>
        </w:rPr>
        <w:tab/>
      </w:r>
      <w:r>
        <w:rPr>
          <w:rFonts w:ascii="David" w:hAnsi="David"/>
          <w:u w:val="single"/>
          <w:rtl/>
        </w:rPr>
        <w:t>השתק שיפוטי</w:t>
      </w:r>
      <w:r>
        <w:rPr>
          <w:rFonts w:ascii="David" w:hAnsi="David"/>
          <w:rtl/>
        </w:rPr>
        <w:t xml:space="preserve"> – בעל דין אינו יכול להגיש הליכים סותרים או לטעון טענות הפוכות בהליכים שונים. משהגיעו האחים להסכם לחלוקה ועתרו במשותף למתן צו ירושה, מנוע </w:t>
      </w:r>
      <w:r w:rsidR="000F5BF7">
        <w:rPr>
          <w:rFonts w:ascii="David" w:hAnsi="David"/>
          <w:rtl/>
        </w:rPr>
        <w:t>ו'</w:t>
      </w:r>
      <w:r>
        <w:rPr>
          <w:rFonts w:ascii="David" w:hAnsi="David"/>
          <w:rtl/>
        </w:rPr>
        <w:t xml:space="preserve"> מלהתכחש לכך ולפעול בניגוד לזה.</w:t>
      </w:r>
    </w:p>
    <w:p w:rsidR="00457B60" w:rsidRDefault="00457B60" w:rsidP="00457B60">
      <w:pPr>
        <w:spacing w:after="120" w:line="360" w:lineRule="auto"/>
        <w:ind w:left="1440" w:hanging="720"/>
        <w:jc w:val="both"/>
        <w:rPr>
          <w:rFonts w:ascii="David" w:hAnsi="David"/>
          <w:rtl/>
        </w:rPr>
      </w:pPr>
      <w:r>
        <w:rPr>
          <w:rFonts w:ascii="David" w:hAnsi="David"/>
          <w:rtl/>
        </w:rPr>
        <w:t>ד.</w:t>
      </w:r>
      <w:r>
        <w:rPr>
          <w:rFonts w:ascii="David" w:hAnsi="David"/>
          <w:rtl/>
        </w:rPr>
        <w:tab/>
      </w:r>
      <w:r>
        <w:rPr>
          <w:rFonts w:ascii="David" w:hAnsi="David"/>
          <w:u w:val="single"/>
          <w:rtl/>
        </w:rPr>
        <w:t>חוסר תום לב</w:t>
      </w:r>
      <w:r>
        <w:rPr>
          <w:rFonts w:ascii="David" w:hAnsi="David"/>
          <w:rtl/>
        </w:rPr>
        <w:t xml:space="preserve"> – מכח עקרון תום הלב החולש על כל פעולה משפטית מכוח סעיפים 39 ו-61(ב) לחוק החוזים (חלק כללי), תשל"ג-1973, מנוע </w:t>
      </w:r>
      <w:r w:rsidR="000F5BF7">
        <w:rPr>
          <w:rFonts w:ascii="David" w:hAnsi="David"/>
          <w:rtl/>
        </w:rPr>
        <w:t>ו'</w:t>
      </w:r>
      <w:r>
        <w:rPr>
          <w:rFonts w:ascii="David" w:hAnsi="David"/>
          <w:rtl/>
        </w:rPr>
        <w:t xml:space="preserve"> מלהגיש בקשה לקיום הצוואה שבמחלוקת, שכן בפעולתו זאת יש משום חוסר תום לב.</w:t>
      </w:r>
    </w:p>
    <w:p w:rsidR="00457B60" w:rsidRDefault="00457B60" w:rsidP="00457B60">
      <w:pPr>
        <w:spacing w:after="120" w:line="360" w:lineRule="auto"/>
        <w:ind w:left="1440" w:hanging="720"/>
        <w:jc w:val="both"/>
        <w:rPr>
          <w:rFonts w:ascii="David" w:hAnsi="David"/>
          <w:rtl/>
        </w:rPr>
      </w:pPr>
      <w:r>
        <w:rPr>
          <w:rFonts w:ascii="David" w:hAnsi="David"/>
          <w:rtl/>
        </w:rPr>
        <w:t>ה.</w:t>
      </w:r>
      <w:r>
        <w:rPr>
          <w:rFonts w:ascii="David" w:hAnsi="David"/>
          <w:rtl/>
        </w:rPr>
        <w:tab/>
      </w:r>
      <w:r>
        <w:rPr>
          <w:rFonts w:ascii="David" w:hAnsi="David"/>
          <w:u w:val="single"/>
          <w:rtl/>
        </w:rPr>
        <w:t>שינוי לרעה במצב הצדדים וצדדי ג'</w:t>
      </w:r>
      <w:r>
        <w:rPr>
          <w:rFonts w:ascii="David" w:hAnsi="David"/>
          <w:rtl/>
        </w:rPr>
        <w:t xml:space="preserve"> – הצדדים שינו את מצבם לרעה בהסתמך על הסכם החלוקה וצו הירושה, וכך גם שונה לרעה מצבם של צדדי ג', שרכשו מהצדדים זכויות במקרקעין אותם קיבלו על פי הסכם החלוקה. בית משפט קמא אמנם התייחס לכך בפסק הדין (סעיף 139) אך לא נתן לכך את המשמעות המשפטית הנכונה. היינו: ביטול צו קיום הצוואה.</w:t>
      </w:r>
    </w:p>
    <w:p w:rsidR="00457B60" w:rsidRDefault="00457B60" w:rsidP="00457B60">
      <w:pPr>
        <w:spacing w:after="120" w:line="360" w:lineRule="auto"/>
        <w:ind w:left="1440" w:hanging="720"/>
        <w:jc w:val="both"/>
        <w:rPr>
          <w:rFonts w:ascii="David" w:hAnsi="David"/>
          <w:rtl/>
        </w:rPr>
      </w:pPr>
      <w:r>
        <w:rPr>
          <w:rFonts w:ascii="David" w:hAnsi="David"/>
          <w:rtl/>
        </w:rPr>
        <w:t>ו.</w:t>
      </w:r>
      <w:r>
        <w:rPr>
          <w:rFonts w:ascii="David" w:hAnsi="David"/>
          <w:rtl/>
        </w:rPr>
        <w:tab/>
      </w:r>
      <w:r>
        <w:rPr>
          <w:rFonts w:ascii="David" w:hAnsi="David"/>
          <w:u w:val="single"/>
          <w:rtl/>
        </w:rPr>
        <w:t>תאונה משפטית</w:t>
      </w:r>
      <w:r>
        <w:rPr>
          <w:rFonts w:ascii="David" w:hAnsi="David"/>
          <w:rtl/>
        </w:rPr>
        <w:t xml:space="preserve"> – </w:t>
      </w:r>
      <w:r w:rsidR="000F5BF7">
        <w:rPr>
          <w:rFonts w:ascii="David" w:hAnsi="David"/>
          <w:rtl/>
        </w:rPr>
        <w:t>ו'</w:t>
      </w:r>
      <w:r>
        <w:rPr>
          <w:rFonts w:ascii="David" w:hAnsi="David"/>
          <w:rtl/>
        </w:rPr>
        <w:t xml:space="preserve"> בהתנהגותו גרם ל"תאונה משפטית" בגינה ניזוקו שני האחים האחרים וצדדי ג'. משכך עליו לשאת בתוצאות תאונה משפטית זאת. </w:t>
      </w:r>
    </w:p>
    <w:p w:rsidR="00457B60" w:rsidRDefault="00457B60" w:rsidP="00457B60">
      <w:pPr>
        <w:spacing w:after="120" w:line="360" w:lineRule="auto"/>
        <w:ind w:left="1440" w:hanging="720"/>
        <w:jc w:val="both"/>
        <w:rPr>
          <w:rFonts w:ascii="David" w:hAnsi="David"/>
          <w:rtl/>
        </w:rPr>
      </w:pPr>
      <w:r>
        <w:rPr>
          <w:rFonts w:ascii="David" w:hAnsi="David"/>
          <w:rtl/>
        </w:rPr>
        <w:t>ז.</w:t>
      </w:r>
      <w:r>
        <w:rPr>
          <w:rFonts w:ascii="David" w:hAnsi="David"/>
          <w:rtl/>
        </w:rPr>
        <w:tab/>
      </w:r>
      <w:r>
        <w:rPr>
          <w:rFonts w:ascii="David" w:hAnsi="David"/>
          <w:u w:val="single"/>
          <w:rtl/>
        </w:rPr>
        <w:t>היקש</w:t>
      </w:r>
      <w:r>
        <w:rPr>
          <w:rFonts w:ascii="David" w:hAnsi="David"/>
          <w:rtl/>
        </w:rPr>
        <w:t xml:space="preserve"> – כפי שלעיתים אין צודק להורות על אכיפת הסכם [סעיף 3(4) לחוק החוזים (תרופות בשל הפרת הסכם), תשל"א-1970], לא היה צודק בנסיבות דנן להורות על הוצאת צו קיום הצוואה שבמחלוקת, ויש לבטלו. </w:t>
      </w:r>
    </w:p>
    <w:p w:rsidR="00457B60" w:rsidRDefault="00457B60" w:rsidP="00457B60">
      <w:pPr>
        <w:spacing w:after="120" w:line="360" w:lineRule="auto"/>
        <w:ind w:left="1440" w:hanging="720"/>
        <w:jc w:val="both"/>
        <w:rPr>
          <w:rFonts w:ascii="David" w:hAnsi="David"/>
          <w:rtl/>
        </w:rPr>
      </w:pPr>
      <w:r>
        <w:rPr>
          <w:rFonts w:ascii="David" w:hAnsi="David"/>
          <w:rtl/>
        </w:rPr>
        <w:lastRenderedPageBreak/>
        <w:t>ח.</w:t>
      </w:r>
      <w:r>
        <w:rPr>
          <w:rFonts w:ascii="David" w:hAnsi="David"/>
          <w:rtl/>
        </w:rPr>
        <w:tab/>
      </w:r>
      <w:r>
        <w:rPr>
          <w:rFonts w:ascii="David" w:hAnsi="David"/>
          <w:u w:val="single"/>
          <w:rtl/>
        </w:rPr>
        <w:t>שיהוי ונזק ראייתי</w:t>
      </w:r>
      <w:r>
        <w:rPr>
          <w:rFonts w:ascii="David" w:hAnsi="David"/>
          <w:rtl/>
        </w:rPr>
        <w:t xml:space="preserve"> – התקיימו בנדון התנאים לקיומו של שיהוי, שאף הוביל לנזק ראייתי לשני האחים, </w:t>
      </w:r>
      <w:r w:rsidR="000F5BF7">
        <w:rPr>
          <w:rFonts w:ascii="David" w:hAnsi="David"/>
          <w:rtl/>
        </w:rPr>
        <w:t>מ'</w:t>
      </w:r>
      <w:r>
        <w:rPr>
          <w:rFonts w:ascii="David" w:hAnsi="David"/>
          <w:rtl/>
        </w:rPr>
        <w:t xml:space="preserve"> ו</w:t>
      </w:r>
      <w:r w:rsidR="000F5BF7">
        <w:rPr>
          <w:rFonts w:ascii="David" w:hAnsi="David"/>
          <w:rtl/>
        </w:rPr>
        <w:t>ס'</w:t>
      </w:r>
      <w:r>
        <w:rPr>
          <w:rFonts w:ascii="David" w:hAnsi="David"/>
          <w:rtl/>
        </w:rPr>
        <w:t xml:space="preserve">. </w:t>
      </w:r>
    </w:p>
    <w:p w:rsidR="00457B60" w:rsidRDefault="00457B60" w:rsidP="00457B60">
      <w:pPr>
        <w:spacing w:after="120" w:line="360" w:lineRule="auto"/>
        <w:ind w:left="1440" w:hanging="720"/>
        <w:jc w:val="both"/>
        <w:rPr>
          <w:rFonts w:ascii="David" w:hAnsi="David"/>
          <w:rtl/>
        </w:rPr>
      </w:pPr>
      <w:r>
        <w:rPr>
          <w:rFonts w:ascii="David" w:hAnsi="David"/>
          <w:rtl/>
        </w:rPr>
        <w:t>ט.</w:t>
      </w:r>
      <w:r>
        <w:rPr>
          <w:rFonts w:ascii="David" w:hAnsi="David"/>
          <w:rtl/>
        </w:rPr>
        <w:tab/>
        <w:t xml:space="preserve">העדר סמכות הרשם לענייני ירושה לדון בבקשה לצו קיום צוואה, שכן הצדדים הסמיכו את בית הדין הכנסייתי לדון בירושת המנוח.   </w:t>
      </w:r>
    </w:p>
    <w:p w:rsidR="00457B60" w:rsidRDefault="00457B60" w:rsidP="00457B60">
      <w:pPr>
        <w:spacing w:after="120" w:line="360" w:lineRule="auto"/>
        <w:jc w:val="both"/>
        <w:rPr>
          <w:rFonts w:ascii="David" w:hAnsi="David"/>
          <w:rtl/>
        </w:rPr>
      </w:pPr>
      <w:r>
        <w:rPr>
          <w:rFonts w:ascii="David" w:hAnsi="David"/>
          <w:rtl/>
        </w:rPr>
        <w:t>25.</w:t>
      </w:r>
      <w:r>
        <w:rPr>
          <w:rFonts w:ascii="David" w:hAnsi="David"/>
          <w:rtl/>
        </w:rPr>
        <w:tab/>
      </w:r>
      <w:r>
        <w:rPr>
          <w:rFonts w:ascii="David" w:hAnsi="David"/>
          <w:b/>
          <w:bCs/>
          <w:u w:val="single"/>
          <w:rtl/>
        </w:rPr>
        <w:t>הצוואה שבמחלוקת ומעמד החתימה</w:t>
      </w:r>
      <w:r>
        <w:rPr>
          <w:rFonts w:ascii="David" w:hAnsi="David"/>
          <w:rtl/>
        </w:rPr>
        <w:t>:</w:t>
      </w:r>
    </w:p>
    <w:p w:rsidR="00457B60" w:rsidRDefault="00457B60" w:rsidP="00457B60">
      <w:pPr>
        <w:spacing w:after="120" w:line="360" w:lineRule="auto"/>
        <w:ind w:left="720"/>
        <w:jc w:val="both"/>
        <w:rPr>
          <w:rFonts w:ascii="David" w:hAnsi="David"/>
          <w:rtl/>
        </w:rPr>
      </w:pPr>
      <w:r>
        <w:rPr>
          <w:rFonts w:ascii="David" w:hAnsi="David"/>
          <w:rtl/>
        </w:rPr>
        <w:t xml:space="preserve">הנסיבות הקשורות למעמד חתימת הצוואה שבמחלוקת נותרו בגדר תעלומה, הגם שמדובר במעמד חשוב בהליך עשיית הצוואה. </w:t>
      </w:r>
    </w:p>
    <w:p w:rsidR="00457B60" w:rsidRDefault="00457B60" w:rsidP="00457B60">
      <w:pPr>
        <w:spacing w:after="120" w:line="360" w:lineRule="auto"/>
        <w:ind w:left="720"/>
        <w:jc w:val="both"/>
        <w:rPr>
          <w:rFonts w:ascii="David" w:hAnsi="David"/>
          <w:rtl/>
        </w:rPr>
      </w:pPr>
      <w:r>
        <w:rPr>
          <w:rFonts w:ascii="David" w:hAnsi="David"/>
          <w:rtl/>
        </w:rPr>
        <w:t xml:space="preserve">כל שידוע על הצוואה שבמחלוקת, שהכין אותה </w:t>
      </w:r>
      <w:r w:rsidR="000F5BF7">
        <w:rPr>
          <w:rFonts w:ascii="David" w:hAnsi="David"/>
          <w:rtl/>
        </w:rPr>
        <w:t>ר'</w:t>
      </w:r>
      <w:r>
        <w:rPr>
          <w:rFonts w:ascii="David" w:hAnsi="David"/>
          <w:rtl/>
        </w:rPr>
        <w:t xml:space="preserve">, לאחר שיחה עם המנוח. על הצוואה רשם </w:t>
      </w:r>
      <w:r w:rsidR="000F5BF7">
        <w:rPr>
          <w:rFonts w:ascii="David" w:hAnsi="David"/>
          <w:rtl/>
        </w:rPr>
        <w:t>ר'</w:t>
      </w:r>
      <w:r>
        <w:rPr>
          <w:rFonts w:ascii="David" w:hAnsi="David"/>
          <w:rtl/>
        </w:rPr>
        <w:t xml:space="preserve"> את תאריך עריכתה, להבדיל מועד חתימתה, ואף לא רשם בה את שמות עדי הקיום. את הצוואה הגולמית הזאת מסר ל</w:t>
      </w:r>
      <w:r w:rsidR="000F5BF7">
        <w:rPr>
          <w:rFonts w:ascii="David" w:hAnsi="David"/>
          <w:rtl/>
        </w:rPr>
        <w:t>ו'</w:t>
      </w:r>
      <w:r>
        <w:rPr>
          <w:rFonts w:ascii="David" w:hAnsi="David"/>
          <w:rtl/>
        </w:rPr>
        <w:t>.</w:t>
      </w:r>
    </w:p>
    <w:p w:rsidR="00457B60" w:rsidRDefault="00457B60" w:rsidP="00457B60">
      <w:pPr>
        <w:spacing w:after="120" w:line="360" w:lineRule="auto"/>
        <w:ind w:left="720"/>
        <w:jc w:val="both"/>
        <w:rPr>
          <w:rFonts w:ascii="David" w:hAnsi="David"/>
          <w:rtl/>
        </w:rPr>
      </w:pPr>
      <w:r>
        <w:rPr>
          <w:rFonts w:ascii="David" w:hAnsi="David"/>
          <w:rtl/>
        </w:rPr>
        <w:t xml:space="preserve">מכאן ואילך לא ידוע לאשורו על אשר אירע, לרבות בנוגע למעמד החתימה. לא ידוע מה עשה </w:t>
      </w:r>
      <w:r w:rsidR="000F5BF7">
        <w:rPr>
          <w:rFonts w:ascii="David" w:hAnsi="David"/>
          <w:rtl/>
        </w:rPr>
        <w:t>ו'</w:t>
      </w:r>
      <w:r>
        <w:rPr>
          <w:rFonts w:ascii="David" w:hAnsi="David"/>
          <w:rtl/>
        </w:rPr>
        <w:t xml:space="preserve"> עם עותקי הצוואה. למי מסרם ומתי. מי קבע מי יהיו עדי הקיום. מי הזמין את עדי הקיום. באיזה מועדים הגיע כל אחד מהעדים לחתימה. מתי חתם המנוח על הצוואה, האם העדים היו נוכחים במועד החתימה של המנוח על הצוואה. מה הדברים שנאמרו במעמד החתימה על ידי כל אחד מן המעורבים. האם המנוח קרא הצוואה לפני החתימה או שהוקראה לו. היכן היה </w:t>
      </w:r>
      <w:r w:rsidR="000F5BF7">
        <w:rPr>
          <w:rFonts w:ascii="David" w:hAnsi="David"/>
          <w:rtl/>
        </w:rPr>
        <w:t>ו'</w:t>
      </w:r>
      <w:r>
        <w:rPr>
          <w:rFonts w:ascii="David" w:hAnsi="David"/>
          <w:rtl/>
        </w:rPr>
        <w:t xml:space="preserve"> במעמד החתימה, כיצד התנהג – ועוד. </w:t>
      </w:r>
    </w:p>
    <w:p w:rsidR="00457B60" w:rsidRDefault="00457B60" w:rsidP="00457B60">
      <w:pPr>
        <w:spacing w:after="120" w:line="360" w:lineRule="auto"/>
        <w:ind w:left="720"/>
        <w:jc w:val="both"/>
        <w:rPr>
          <w:rFonts w:ascii="David" w:hAnsi="David"/>
          <w:rtl/>
        </w:rPr>
      </w:pPr>
      <w:r>
        <w:rPr>
          <w:rFonts w:ascii="David" w:hAnsi="David"/>
          <w:rtl/>
        </w:rPr>
        <w:t xml:space="preserve">ידוע כי </w:t>
      </w:r>
      <w:r w:rsidR="000F5BF7">
        <w:rPr>
          <w:rFonts w:ascii="David" w:hAnsi="David"/>
          <w:rtl/>
        </w:rPr>
        <w:t>ו'</w:t>
      </w:r>
      <w:r>
        <w:rPr>
          <w:rFonts w:ascii="David" w:hAnsi="David"/>
          <w:rtl/>
        </w:rPr>
        <w:t xml:space="preserve"> קיבל את הצוואה "הגולמית" מידיו של </w:t>
      </w:r>
      <w:r w:rsidR="000F5BF7">
        <w:rPr>
          <w:rFonts w:ascii="David" w:hAnsi="David"/>
          <w:rtl/>
        </w:rPr>
        <w:t>ר'</w:t>
      </w:r>
      <w:r>
        <w:rPr>
          <w:rFonts w:ascii="David" w:hAnsi="David"/>
          <w:rtl/>
        </w:rPr>
        <w:t xml:space="preserve">, עם תאריך עריכתה וללא שמות הצדדים. </w:t>
      </w:r>
      <w:r w:rsidR="000F5BF7">
        <w:rPr>
          <w:rFonts w:ascii="David" w:hAnsi="David"/>
          <w:rtl/>
        </w:rPr>
        <w:t>ו'</w:t>
      </w:r>
      <w:r>
        <w:rPr>
          <w:rFonts w:ascii="David" w:hAnsi="David"/>
          <w:rtl/>
        </w:rPr>
        <w:t xml:space="preserve"> הוא שדאג "לכל היתר". קרי – ארגן את מעמד החתימה, את זהות העדים ואף נכח במעמד החתימה בבית המנוח, שזה גם ביתו. לשון אחרת, </w:t>
      </w:r>
      <w:r w:rsidR="000F5BF7">
        <w:rPr>
          <w:rFonts w:ascii="David" w:hAnsi="David"/>
          <w:rtl/>
        </w:rPr>
        <w:t>ו'</w:t>
      </w:r>
      <w:r>
        <w:rPr>
          <w:rFonts w:ascii="David" w:hAnsi="David"/>
          <w:rtl/>
        </w:rPr>
        <w:t xml:space="preserve"> היה מעורב או לקח חלק בעריכת הצוואה שבמחלוקת.</w:t>
      </w:r>
    </w:p>
    <w:p w:rsidR="00457B60" w:rsidRDefault="00457B60" w:rsidP="00457B60">
      <w:pPr>
        <w:spacing w:after="120" w:line="360" w:lineRule="auto"/>
        <w:ind w:left="720"/>
        <w:jc w:val="both"/>
        <w:rPr>
          <w:rFonts w:ascii="David" w:hAnsi="David"/>
          <w:rtl/>
        </w:rPr>
      </w:pPr>
      <w:r>
        <w:rPr>
          <w:rFonts w:ascii="David" w:hAnsi="David"/>
          <w:rtl/>
        </w:rPr>
        <w:t xml:space="preserve">כל אלה היו צריכים להביא את בית משפט קמא לביטול צו קיום הצוואה, ולמצער להעביר הנטל להוכחת כשרות הצוואה על </w:t>
      </w:r>
      <w:r w:rsidR="000F5BF7">
        <w:rPr>
          <w:rFonts w:ascii="David" w:hAnsi="David"/>
          <w:rtl/>
        </w:rPr>
        <w:t>ו'</w:t>
      </w:r>
      <w:r>
        <w:rPr>
          <w:rFonts w:ascii="David" w:hAnsi="David"/>
          <w:rtl/>
        </w:rPr>
        <w:t xml:space="preserve">. </w:t>
      </w:r>
    </w:p>
    <w:p w:rsidR="00457B60" w:rsidRDefault="00457B60" w:rsidP="00457B60">
      <w:pPr>
        <w:spacing w:after="120" w:line="360" w:lineRule="auto"/>
        <w:jc w:val="both"/>
        <w:rPr>
          <w:rFonts w:ascii="David" w:hAnsi="David"/>
          <w:rtl/>
        </w:rPr>
      </w:pPr>
      <w:r>
        <w:rPr>
          <w:rFonts w:ascii="David" w:hAnsi="David"/>
          <w:rtl/>
        </w:rPr>
        <w:t>26.</w:t>
      </w:r>
      <w:r>
        <w:rPr>
          <w:rFonts w:ascii="David" w:hAnsi="David"/>
          <w:rtl/>
        </w:rPr>
        <w:tab/>
      </w:r>
      <w:r>
        <w:rPr>
          <w:rFonts w:ascii="David" w:hAnsi="David"/>
          <w:b/>
          <w:bCs/>
          <w:u w:val="single"/>
          <w:rtl/>
        </w:rPr>
        <w:t>פגמים בצוואה – מהותיים וצורניים</w:t>
      </w:r>
      <w:r>
        <w:rPr>
          <w:rFonts w:ascii="David" w:hAnsi="David"/>
          <w:rtl/>
        </w:rPr>
        <w:t>:</w:t>
      </w:r>
    </w:p>
    <w:p w:rsidR="00484611" w:rsidRDefault="00457B60" w:rsidP="00A57BF2">
      <w:pPr>
        <w:spacing w:after="120" w:line="360" w:lineRule="auto"/>
        <w:ind w:left="720"/>
        <w:jc w:val="both"/>
        <w:rPr>
          <w:rFonts w:ascii="David" w:hAnsi="David"/>
          <w:rtl/>
        </w:rPr>
      </w:pPr>
      <w:r>
        <w:rPr>
          <w:rFonts w:ascii="David" w:hAnsi="David"/>
          <w:rtl/>
        </w:rPr>
        <w:t xml:space="preserve">טעה בית המשפט בקביעתו (בסעיף 110 לפסק הדין) כי הטענות בענין פגמים בצוואה שבמחלוקת הינן בגדר "השערות בלבד", שאינן נתמכות בראיה כלשהי; ואף אינן בגדר מסקנה המתבקשת מהעדויות שנשמעו. </w:t>
      </w:r>
    </w:p>
    <w:p w:rsidR="00457B60" w:rsidRDefault="00457B60" w:rsidP="00457B60">
      <w:pPr>
        <w:spacing w:after="120" w:line="360" w:lineRule="auto"/>
        <w:ind w:left="720"/>
        <w:jc w:val="both"/>
        <w:rPr>
          <w:rFonts w:ascii="David" w:hAnsi="David"/>
          <w:u w:val="single"/>
          <w:rtl/>
        </w:rPr>
      </w:pPr>
      <w:r>
        <w:rPr>
          <w:rFonts w:ascii="David" w:hAnsi="David"/>
          <w:u w:val="single"/>
          <w:rtl/>
        </w:rPr>
        <w:t>זאת כשבפועל נראה כי בצוואה השלישית נפלו פגמים רבים מהותיים וצורניים, כדלקמן</w:t>
      </w:r>
      <w:r>
        <w:rPr>
          <w:rFonts w:ascii="David" w:hAnsi="David"/>
          <w:rtl/>
        </w:rPr>
        <w:t xml:space="preserve">: </w:t>
      </w:r>
    </w:p>
    <w:p w:rsidR="00457B60" w:rsidRDefault="00457B60" w:rsidP="00457B60">
      <w:pPr>
        <w:spacing w:after="120" w:line="360" w:lineRule="auto"/>
        <w:ind w:left="1440" w:hanging="720"/>
        <w:jc w:val="both"/>
        <w:rPr>
          <w:rFonts w:ascii="David" w:hAnsi="David"/>
          <w:rtl/>
        </w:rPr>
      </w:pPr>
      <w:r>
        <w:rPr>
          <w:rFonts w:ascii="David" w:hAnsi="David"/>
          <w:rtl/>
        </w:rPr>
        <w:t>א.</w:t>
      </w:r>
      <w:r>
        <w:rPr>
          <w:rFonts w:ascii="David" w:hAnsi="David"/>
          <w:rtl/>
        </w:rPr>
        <w:tab/>
      </w:r>
      <w:r>
        <w:rPr>
          <w:rFonts w:ascii="David" w:hAnsi="David"/>
          <w:u w:val="single"/>
          <w:rtl/>
        </w:rPr>
        <w:t>הבאת הצוואה בפני עדי הקיום, ומועד חתימתם</w:t>
      </w:r>
      <w:r>
        <w:rPr>
          <w:rFonts w:ascii="David" w:hAnsi="David"/>
          <w:rtl/>
        </w:rPr>
        <w:t xml:space="preserve"> – טעה בית משפט קמא כשקבע שלא הוכח קיומו של פגם מהותי באי הבאת הצוואה על ידי המנוח בפני שני עדים. זאת כיוון שהוכח, שעדי הקיום לא נפגשו בעת חתימת הצוואה על ידי המנוח. למצער לא הוכח כי עדי הקיום חתמו על הצוואה באותו מעמד, וכלל לא ברור בפני מי מעדי הקיום חתם המנוח, ומה הצהיר בפני כל אחד מהם.</w:t>
      </w:r>
    </w:p>
    <w:p w:rsidR="00457B60" w:rsidRDefault="00457B60" w:rsidP="00457B60">
      <w:pPr>
        <w:spacing w:after="120" w:line="360" w:lineRule="auto"/>
        <w:ind w:left="1440" w:hanging="720"/>
        <w:jc w:val="both"/>
        <w:rPr>
          <w:rFonts w:ascii="David" w:hAnsi="David"/>
          <w:rtl/>
        </w:rPr>
      </w:pPr>
      <w:r>
        <w:rPr>
          <w:rFonts w:ascii="David" w:hAnsi="David"/>
          <w:rtl/>
        </w:rPr>
        <w:lastRenderedPageBreak/>
        <w:tab/>
        <w:t xml:space="preserve">בנדון טעה בית המשפט כשקבע (סעיף 112 לפסק הדין) כי הצוואה הובאה בפני שני עדים, מבלי שהונחה בפניו ראיה על כך. בית המשפט קבע זאת כהנחה מבלי לבדוק אם הוכחה. הבאת הצוואה בפני שני עדי קיום הוא תנאי מהותי בהעדרו אין אפשרות לקיום הצוואה (סעיף 25(ב)(2) לחוק הירושה). מרכיב זה אינו ניתן לריפוי על ידי סעיף 25 לחוק הירושה. </w:t>
      </w:r>
    </w:p>
    <w:p w:rsidR="00457B60" w:rsidRDefault="00457B60" w:rsidP="00457B60">
      <w:pPr>
        <w:spacing w:after="120" w:line="360" w:lineRule="auto"/>
        <w:ind w:left="1440"/>
        <w:jc w:val="both"/>
        <w:rPr>
          <w:rFonts w:ascii="David" w:hAnsi="David"/>
          <w:rtl/>
        </w:rPr>
      </w:pPr>
      <w:r>
        <w:rPr>
          <w:rFonts w:ascii="David" w:hAnsi="David"/>
          <w:rtl/>
        </w:rPr>
        <w:t>אפילו נאמר כי עסקינן בפגם צורני בלבד (להבדיל ממהותי), הנטל הראייתי בנדון צריך היה להיות מועבר ל</w:t>
      </w:r>
      <w:r w:rsidR="000F5BF7">
        <w:rPr>
          <w:rFonts w:ascii="David" w:hAnsi="David"/>
          <w:rtl/>
        </w:rPr>
        <w:t>ו'</w:t>
      </w:r>
      <w:r>
        <w:rPr>
          <w:rFonts w:ascii="David" w:hAnsi="David"/>
          <w:rtl/>
        </w:rPr>
        <w:t xml:space="preserve">, והוא לא עמד בו. </w:t>
      </w:r>
    </w:p>
    <w:p w:rsidR="00457B60" w:rsidRDefault="00457B60" w:rsidP="00457B60">
      <w:pPr>
        <w:spacing w:after="120" w:line="360" w:lineRule="auto"/>
        <w:ind w:left="1440" w:hanging="720"/>
        <w:jc w:val="both"/>
        <w:rPr>
          <w:rFonts w:ascii="David" w:hAnsi="David"/>
          <w:rtl/>
        </w:rPr>
      </w:pPr>
      <w:r>
        <w:rPr>
          <w:rFonts w:ascii="David" w:hAnsi="David"/>
          <w:rtl/>
        </w:rPr>
        <w:t>ב.</w:t>
      </w:r>
      <w:r>
        <w:rPr>
          <w:rFonts w:ascii="David" w:hAnsi="David"/>
          <w:rtl/>
        </w:rPr>
        <w:tab/>
      </w:r>
      <w:r>
        <w:rPr>
          <w:rFonts w:ascii="David" w:hAnsi="David"/>
          <w:u w:val="single"/>
          <w:rtl/>
        </w:rPr>
        <w:t>עדי הקיום לא הצהירו שהמנוח הצהיר בפניהם שזאת צוואתו</w:t>
      </w:r>
      <w:r>
        <w:rPr>
          <w:rFonts w:ascii="David" w:hAnsi="David"/>
          <w:rtl/>
        </w:rPr>
        <w:t xml:space="preserve"> – כך עולה מעיון בצוואה שבמחלוקת (ראו הצהרת העדים בפסקה האחרונה לצוואה שבמחלוקת), בניגוד לנדרש בסעיף 20 לחוק הירושה.</w:t>
      </w:r>
    </w:p>
    <w:p w:rsidR="00457B60" w:rsidRDefault="00457B60" w:rsidP="00457B60">
      <w:pPr>
        <w:spacing w:after="120" w:line="360" w:lineRule="auto"/>
        <w:ind w:left="1440" w:hanging="720"/>
        <w:jc w:val="both"/>
        <w:rPr>
          <w:rFonts w:ascii="David" w:hAnsi="David"/>
          <w:rtl/>
        </w:rPr>
      </w:pPr>
      <w:r>
        <w:rPr>
          <w:rFonts w:ascii="David" w:hAnsi="David"/>
          <w:rtl/>
        </w:rPr>
        <w:tab/>
        <w:t xml:space="preserve">משכך, טעה בית משפט קמא, כשלא התייחס לפגם זה כפגם מהותי, ולמצער כפגם צורני. </w:t>
      </w:r>
    </w:p>
    <w:p w:rsidR="00457B60" w:rsidRDefault="00457B60" w:rsidP="00457B60">
      <w:pPr>
        <w:spacing w:after="120" w:line="360" w:lineRule="auto"/>
        <w:ind w:left="1440" w:hanging="720"/>
        <w:jc w:val="both"/>
        <w:rPr>
          <w:rFonts w:ascii="David" w:hAnsi="David"/>
          <w:rtl/>
        </w:rPr>
      </w:pPr>
      <w:r>
        <w:rPr>
          <w:rFonts w:ascii="David" w:hAnsi="David"/>
          <w:rtl/>
        </w:rPr>
        <w:tab/>
        <w:t xml:space="preserve">אפילו נכונה בנדון קביעת בית משפט קמא  בפסק דינו (סעיף 111), כי עדים לצוואה יכולים לחתום במועדים שונים, ובתנאי כי המנוח הצהיר בפני כל עד כי זאת צוואתו, וככל שחתם מאשר חתימתו, במקרה דנן זה לא מועיל. שכן ברור כי המנוח לא חתם לפחות בפני אחד מעדי הקיום, שכן על הצוואה קיימת רק חתימה אחת של המנוח. בנדון עד הקיום מתא העיד שעד הקיום האחר (עראף ז"ל) לא היה נוכח במעמד החתימה. </w:t>
      </w:r>
    </w:p>
    <w:p w:rsidR="00457B60" w:rsidRDefault="00457B60" w:rsidP="00457B60">
      <w:pPr>
        <w:spacing w:after="120" w:line="360" w:lineRule="auto"/>
        <w:ind w:left="1440" w:hanging="720"/>
        <w:jc w:val="both"/>
        <w:rPr>
          <w:rFonts w:ascii="David" w:hAnsi="David"/>
          <w:rtl/>
        </w:rPr>
      </w:pPr>
      <w:r>
        <w:rPr>
          <w:rFonts w:ascii="David" w:hAnsi="David"/>
          <w:rtl/>
        </w:rPr>
        <w:tab/>
        <w:t xml:space="preserve">במצב דברים זה אפילו עסקינן פגם צורני, לא הוכח על ידי </w:t>
      </w:r>
      <w:r w:rsidR="000F5BF7">
        <w:rPr>
          <w:rFonts w:ascii="David" w:hAnsi="David"/>
          <w:rtl/>
        </w:rPr>
        <w:t>ו'</w:t>
      </w:r>
      <w:r>
        <w:rPr>
          <w:rFonts w:ascii="David" w:hAnsi="David"/>
          <w:rtl/>
        </w:rPr>
        <w:t xml:space="preserve">, שנטל הראיה צריך לעבור אליו, כי "נרפא" בדרך כשלהי. </w:t>
      </w:r>
    </w:p>
    <w:p w:rsidR="00457B60" w:rsidRDefault="00457B60" w:rsidP="00457B60">
      <w:pPr>
        <w:spacing w:after="120" w:line="360" w:lineRule="auto"/>
        <w:ind w:left="1440" w:hanging="720"/>
        <w:jc w:val="both"/>
        <w:rPr>
          <w:rFonts w:ascii="David" w:hAnsi="David"/>
          <w:rtl/>
        </w:rPr>
      </w:pPr>
      <w:r>
        <w:rPr>
          <w:rFonts w:ascii="David" w:hAnsi="David"/>
          <w:rtl/>
        </w:rPr>
        <w:t>ג.</w:t>
      </w:r>
      <w:r>
        <w:rPr>
          <w:rFonts w:ascii="David" w:hAnsi="David"/>
          <w:rtl/>
        </w:rPr>
        <w:tab/>
      </w:r>
      <w:r>
        <w:rPr>
          <w:rFonts w:ascii="David" w:hAnsi="David"/>
          <w:u w:val="single"/>
          <w:rtl/>
        </w:rPr>
        <w:t>תאריך החתימה על הצוואה שבמחלוקת</w:t>
      </w:r>
      <w:r>
        <w:rPr>
          <w:rFonts w:ascii="David" w:hAnsi="David"/>
          <w:rtl/>
        </w:rPr>
        <w:t xml:space="preserve"> – טעה בית המשפט כשקבע (סעיף 112 לפסק הדין) שלא הוכח קיומו של פגם בקשר לחתימת הצוואה שבמחלוקת.</w:t>
      </w:r>
    </w:p>
    <w:p w:rsidR="00457B60" w:rsidRDefault="00457B60" w:rsidP="00457B60">
      <w:pPr>
        <w:spacing w:after="120" w:line="360" w:lineRule="auto"/>
        <w:ind w:left="1440" w:hanging="720"/>
        <w:jc w:val="both"/>
        <w:rPr>
          <w:rFonts w:ascii="David" w:hAnsi="David"/>
          <w:rtl/>
        </w:rPr>
      </w:pPr>
      <w:r>
        <w:rPr>
          <w:rFonts w:ascii="David" w:hAnsi="David"/>
          <w:rtl/>
        </w:rPr>
        <w:tab/>
        <w:t xml:space="preserve">בנדון טעה בית המשפט כשקבע כי אמנם נרשם על הצוואה תאריך עריכתה, אך אין בכך הוכחה כי לא נחתמה באותו יום. </w:t>
      </w:r>
    </w:p>
    <w:p w:rsidR="00457B60" w:rsidRDefault="00457B60" w:rsidP="00457B60">
      <w:pPr>
        <w:spacing w:after="120" w:line="360" w:lineRule="auto"/>
        <w:ind w:left="1440" w:hanging="720"/>
        <w:jc w:val="both"/>
        <w:rPr>
          <w:rFonts w:ascii="David" w:hAnsi="David"/>
          <w:rtl/>
        </w:rPr>
      </w:pPr>
      <w:r>
        <w:rPr>
          <w:rFonts w:ascii="David" w:hAnsi="David"/>
          <w:rtl/>
        </w:rPr>
        <w:tab/>
        <w:t xml:space="preserve">זאת השערה בלבד של בית המשפט, שלא הובאו לגביה ראיות. לכן גם לא מדובר במסקנה מתבקשת. </w:t>
      </w:r>
    </w:p>
    <w:p w:rsidR="00457B60" w:rsidRDefault="00457B60" w:rsidP="00457B60">
      <w:pPr>
        <w:spacing w:after="120" w:line="360" w:lineRule="auto"/>
        <w:ind w:left="1440" w:hanging="720"/>
        <w:jc w:val="both"/>
        <w:rPr>
          <w:rFonts w:ascii="David" w:hAnsi="David"/>
          <w:rtl/>
        </w:rPr>
      </w:pPr>
      <w:r>
        <w:rPr>
          <w:rFonts w:ascii="David" w:hAnsi="David"/>
          <w:rtl/>
        </w:rPr>
        <w:tab/>
        <w:t xml:space="preserve">באמצעות העד </w:t>
      </w:r>
      <w:r w:rsidR="000F5BF7">
        <w:rPr>
          <w:rFonts w:ascii="David" w:hAnsi="David"/>
          <w:rtl/>
        </w:rPr>
        <w:t>ר'</w:t>
      </w:r>
      <w:r>
        <w:rPr>
          <w:rFonts w:ascii="David" w:hAnsi="David"/>
          <w:rtl/>
        </w:rPr>
        <w:t xml:space="preserve"> הוכח, כי הוא רשם על הצוואה את תאריך עריכתה בלבד. מכאן כי אין תאריך נוסף המלמד על תאריך חתימת הצוואה, ועסקינן בפגם צורני בצוואה (סעיף 20 לחוק הירושה). </w:t>
      </w:r>
    </w:p>
    <w:p w:rsidR="00457B60" w:rsidRDefault="00457B60" w:rsidP="00457B60">
      <w:pPr>
        <w:spacing w:after="120" w:line="360" w:lineRule="auto"/>
        <w:ind w:left="1440" w:hanging="720"/>
        <w:jc w:val="both"/>
        <w:rPr>
          <w:rFonts w:ascii="David" w:hAnsi="David"/>
          <w:rtl/>
        </w:rPr>
      </w:pPr>
      <w:r>
        <w:rPr>
          <w:rFonts w:ascii="David" w:hAnsi="David"/>
          <w:rtl/>
        </w:rPr>
        <w:tab/>
        <w:t xml:space="preserve">התאריך בו חתם כל אחד מהחותמים על הצוואה (המנוח שני עדי הקיום) נותר בתעלומה עד כה. </w:t>
      </w:r>
      <w:r w:rsidR="000F5BF7">
        <w:rPr>
          <w:rFonts w:ascii="David" w:hAnsi="David"/>
          <w:rtl/>
        </w:rPr>
        <w:t>ו'</w:t>
      </w:r>
      <w:r>
        <w:rPr>
          <w:rFonts w:ascii="David" w:hAnsi="David"/>
          <w:rtl/>
        </w:rPr>
        <w:t xml:space="preserve"> לא הביא כל ראיה לנדון, ואליו צריך היה לעבור נטל הראיה בנדון. </w:t>
      </w:r>
    </w:p>
    <w:p w:rsidR="00457B60" w:rsidRDefault="00457B60" w:rsidP="00457B60">
      <w:pPr>
        <w:spacing w:after="120" w:line="360" w:lineRule="auto"/>
        <w:ind w:left="1440" w:hanging="720"/>
        <w:jc w:val="both"/>
        <w:rPr>
          <w:rFonts w:ascii="David" w:hAnsi="David"/>
          <w:rtl/>
        </w:rPr>
      </w:pPr>
      <w:r>
        <w:rPr>
          <w:rFonts w:ascii="David" w:hAnsi="David"/>
          <w:rtl/>
        </w:rPr>
        <w:tab/>
        <w:t xml:space="preserve">בנדון גם טעה בית המשפט, כשקבע (סעיף 112 לפסק הדין, פסקה שניה) כי </w:t>
      </w:r>
      <w:r w:rsidR="000F5BF7">
        <w:rPr>
          <w:rFonts w:ascii="David" w:hAnsi="David"/>
          <w:rtl/>
        </w:rPr>
        <w:t>מ'</w:t>
      </w:r>
      <w:r>
        <w:rPr>
          <w:rFonts w:ascii="David" w:hAnsi="David"/>
          <w:rtl/>
        </w:rPr>
        <w:t xml:space="preserve"> ו</w:t>
      </w:r>
      <w:r w:rsidR="000F5BF7">
        <w:rPr>
          <w:rFonts w:ascii="David" w:hAnsi="David"/>
          <w:rtl/>
        </w:rPr>
        <w:t>ס'</w:t>
      </w:r>
      <w:r>
        <w:rPr>
          <w:rFonts w:ascii="David" w:hAnsi="David"/>
          <w:rtl/>
        </w:rPr>
        <w:t xml:space="preserve"> לא הוכיחו פגם בקשר למועד החתימה, משום שעד הקיום מתא לא הציג גרסה בקשר למועד החתימה, ועד קיום נוסף הלך לעולמו. </w:t>
      </w:r>
    </w:p>
    <w:p w:rsidR="00457B60" w:rsidRDefault="00457B60" w:rsidP="00457B60">
      <w:pPr>
        <w:spacing w:after="120" w:line="360" w:lineRule="auto"/>
        <w:ind w:left="1440"/>
        <w:jc w:val="both"/>
        <w:rPr>
          <w:rFonts w:ascii="David" w:hAnsi="David"/>
          <w:rtl/>
        </w:rPr>
      </w:pPr>
      <w:r>
        <w:rPr>
          <w:rFonts w:ascii="David" w:hAnsi="David"/>
          <w:rtl/>
        </w:rPr>
        <w:lastRenderedPageBreak/>
        <w:t>בנדון בית משפט קמא הפך היוצרות. עדי הקיום הם עדי המבקש את צו הקיום. מעבר לכך – בהינתן פגם צורני בנדון בצוואה, נטל הראיה צריך לעבור לכתפיו של מבקש הקיום (</w:t>
      </w:r>
      <w:r w:rsidR="000F5BF7">
        <w:rPr>
          <w:rFonts w:ascii="David" w:hAnsi="David"/>
          <w:rtl/>
        </w:rPr>
        <w:t>ו'</w:t>
      </w:r>
      <w:r>
        <w:rPr>
          <w:rFonts w:ascii="David" w:hAnsi="David"/>
          <w:rtl/>
        </w:rPr>
        <w:t xml:space="preserve">), להוכיח ריפוי הפגם. </w:t>
      </w:r>
    </w:p>
    <w:p w:rsidR="00457B60" w:rsidRDefault="00457B60" w:rsidP="00457B60">
      <w:pPr>
        <w:spacing w:after="120" w:line="360" w:lineRule="auto"/>
        <w:ind w:left="720" w:hanging="720"/>
        <w:jc w:val="both"/>
        <w:rPr>
          <w:rFonts w:ascii="David" w:hAnsi="David"/>
          <w:rtl/>
        </w:rPr>
      </w:pPr>
      <w:r>
        <w:rPr>
          <w:rFonts w:ascii="David" w:hAnsi="David"/>
          <w:rtl/>
        </w:rPr>
        <w:t>27.</w:t>
      </w:r>
      <w:r>
        <w:rPr>
          <w:rFonts w:ascii="David" w:hAnsi="David"/>
          <w:rtl/>
        </w:rPr>
        <w:tab/>
      </w:r>
      <w:r>
        <w:rPr>
          <w:rFonts w:ascii="David" w:hAnsi="David"/>
          <w:b/>
          <w:bCs/>
          <w:u w:val="single"/>
          <w:rtl/>
        </w:rPr>
        <w:t>נטל</w:t>
      </w:r>
      <w:r>
        <w:rPr>
          <w:rFonts w:ascii="David" w:hAnsi="David"/>
          <w:u w:val="single"/>
          <w:rtl/>
        </w:rPr>
        <w:t xml:space="preserve"> </w:t>
      </w:r>
      <w:r>
        <w:rPr>
          <w:rFonts w:ascii="David" w:hAnsi="David"/>
          <w:b/>
          <w:bCs/>
          <w:u w:val="single"/>
          <w:rtl/>
        </w:rPr>
        <w:t>ההוכחה ונטל הבאת</w:t>
      </w:r>
      <w:r>
        <w:rPr>
          <w:rFonts w:ascii="David" w:hAnsi="David"/>
          <w:u w:val="single"/>
          <w:rtl/>
        </w:rPr>
        <w:t xml:space="preserve"> </w:t>
      </w:r>
      <w:r>
        <w:rPr>
          <w:rFonts w:ascii="David" w:hAnsi="David"/>
          <w:b/>
          <w:bCs/>
          <w:u w:val="single"/>
          <w:rtl/>
        </w:rPr>
        <w:t>הראיות</w:t>
      </w:r>
      <w:r>
        <w:rPr>
          <w:rFonts w:ascii="David" w:hAnsi="David"/>
          <w:rtl/>
        </w:rPr>
        <w:t xml:space="preserve"> – בית משפט קמא טעה בעניין נטלי ההוכחה והבאת הראיות.</w:t>
      </w:r>
    </w:p>
    <w:p w:rsidR="00457B60" w:rsidRDefault="00457B60" w:rsidP="00457B60">
      <w:pPr>
        <w:spacing w:after="120" w:line="360" w:lineRule="auto"/>
        <w:ind w:left="720"/>
        <w:jc w:val="both"/>
        <w:rPr>
          <w:rFonts w:ascii="David" w:hAnsi="David"/>
          <w:rtl/>
        </w:rPr>
      </w:pPr>
      <w:r>
        <w:rPr>
          <w:rFonts w:ascii="David" w:hAnsi="David"/>
          <w:rtl/>
        </w:rPr>
        <w:t xml:space="preserve">טעותו העיקרית של בית משפט קמא באה לידי ביטוי בכך שסבר כי </w:t>
      </w:r>
      <w:r w:rsidR="000F5BF7">
        <w:rPr>
          <w:rFonts w:ascii="David" w:hAnsi="David"/>
          <w:rtl/>
        </w:rPr>
        <w:t>מ'</w:t>
      </w:r>
      <w:r>
        <w:rPr>
          <w:rFonts w:ascii="David" w:hAnsi="David"/>
          <w:rtl/>
        </w:rPr>
        <w:t xml:space="preserve"> ו</w:t>
      </w:r>
      <w:r w:rsidR="000F5BF7">
        <w:rPr>
          <w:rFonts w:ascii="David" w:hAnsi="David"/>
          <w:rtl/>
        </w:rPr>
        <w:t>ס'</w:t>
      </w:r>
      <w:r>
        <w:rPr>
          <w:rFonts w:ascii="David" w:hAnsi="David"/>
          <w:rtl/>
        </w:rPr>
        <w:t xml:space="preserve"> אמורים להוכיח את שאירע במעמד חתימת הצוואה שבמחלוקת, מעמד בו לא נכחו כלל. </w:t>
      </w:r>
    </w:p>
    <w:p w:rsidR="00457B60" w:rsidRDefault="00457B60" w:rsidP="00457B60">
      <w:pPr>
        <w:spacing w:after="120" w:line="360" w:lineRule="auto"/>
        <w:ind w:left="720"/>
        <w:jc w:val="both"/>
        <w:rPr>
          <w:rFonts w:ascii="David" w:hAnsi="David"/>
          <w:rtl/>
        </w:rPr>
      </w:pPr>
      <w:r>
        <w:rPr>
          <w:rFonts w:ascii="David" w:hAnsi="David"/>
          <w:rtl/>
        </w:rPr>
        <w:t>בנדון די היה ל</w:t>
      </w:r>
      <w:r w:rsidR="000F5BF7">
        <w:rPr>
          <w:rFonts w:ascii="David" w:hAnsi="David"/>
          <w:rtl/>
        </w:rPr>
        <w:t>מ'</w:t>
      </w:r>
      <w:r>
        <w:rPr>
          <w:rFonts w:ascii="David" w:hAnsi="David"/>
          <w:rtl/>
        </w:rPr>
        <w:t xml:space="preserve"> ו</w:t>
      </w:r>
      <w:r w:rsidR="000F5BF7">
        <w:rPr>
          <w:rFonts w:ascii="David" w:hAnsi="David"/>
          <w:rtl/>
        </w:rPr>
        <w:t>ס'</w:t>
      </w:r>
      <w:r>
        <w:rPr>
          <w:rFonts w:ascii="David" w:hAnsi="David"/>
          <w:rtl/>
        </w:rPr>
        <w:t xml:space="preserve"> אם היו מטילים ספק באותנטיות הצוואה, שאינה משקפת את רצון המנוח, בכשרות המנוח וגמירת דעתו ועוד. אז נטל השכנוע היה צריך לעבור לכתפי </w:t>
      </w:r>
      <w:r w:rsidR="000F5BF7">
        <w:rPr>
          <w:rFonts w:ascii="David" w:hAnsi="David"/>
          <w:rtl/>
        </w:rPr>
        <w:t>ו'</w:t>
      </w:r>
      <w:r>
        <w:rPr>
          <w:rFonts w:ascii="David" w:hAnsi="David"/>
          <w:rtl/>
        </w:rPr>
        <w:t>, ועסקינן בנטל ראייתי הגבוה ממאזני ההסתברות (סעיף 25 לחוק הירושה).</w:t>
      </w:r>
    </w:p>
    <w:p w:rsidR="00457B60" w:rsidRDefault="00457B60" w:rsidP="00457B60">
      <w:pPr>
        <w:spacing w:after="120" w:line="360" w:lineRule="auto"/>
        <w:ind w:left="720"/>
        <w:jc w:val="both"/>
        <w:rPr>
          <w:rFonts w:ascii="David" w:hAnsi="David"/>
          <w:rtl/>
        </w:rPr>
      </w:pPr>
      <w:r>
        <w:rPr>
          <w:rFonts w:ascii="David" w:hAnsi="David"/>
          <w:rtl/>
        </w:rPr>
        <w:t xml:space="preserve">במקרה דנן, שהינו מקרה קיצוני בנסיבותיו (בכל הקשור לתעלומת נסיבות עריכת וחתימת הצוואה שבמחלוקת, נסיבות מציאתה בשלב כה מאוחר, ולרבות אי סבירותה ואי הוכחת סיבה לעריכתה), נטל הראיה והשכנוע צריך היה להיות מוטל לכל אורך הדרך על </w:t>
      </w:r>
      <w:r w:rsidR="000F5BF7">
        <w:rPr>
          <w:rFonts w:ascii="David" w:hAnsi="David"/>
          <w:rtl/>
        </w:rPr>
        <w:t>ו'</w:t>
      </w:r>
      <w:r>
        <w:rPr>
          <w:rFonts w:ascii="David" w:hAnsi="David"/>
          <w:rtl/>
        </w:rPr>
        <w:t xml:space="preserve">, במיוחד בכל הקשור לקיומם של היסודות המהותיים והצורניים של הצוואה. </w:t>
      </w:r>
    </w:p>
    <w:p w:rsidR="00457B60" w:rsidRDefault="00457B60" w:rsidP="00457B60">
      <w:pPr>
        <w:spacing w:after="120" w:line="360" w:lineRule="auto"/>
        <w:ind w:left="1440" w:hanging="720"/>
        <w:jc w:val="both"/>
        <w:rPr>
          <w:rFonts w:ascii="David" w:hAnsi="David"/>
          <w:rtl/>
        </w:rPr>
      </w:pPr>
      <w:r>
        <w:rPr>
          <w:rFonts w:ascii="David" w:hAnsi="David"/>
          <w:rtl/>
        </w:rPr>
        <w:t>במקרה דנן – עד קיו</w:t>
      </w:r>
      <w:r w:rsidR="00A57BF2">
        <w:rPr>
          <w:rFonts w:ascii="David" w:hAnsi="David"/>
          <w:rtl/>
        </w:rPr>
        <w:t>ם אחד לצוואה נפטר (העד ו</w:t>
      </w:r>
      <w:r w:rsidR="00A57BF2">
        <w:rPr>
          <w:rFonts w:ascii="David" w:hAnsi="David" w:hint="cs"/>
          <w:rtl/>
        </w:rPr>
        <w:t>. ע</w:t>
      </w:r>
      <w:r>
        <w:rPr>
          <w:rFonts w:ascii="David" w:hAnsi="David"/>
          <w:rtl/>
        </w:rPr>
        <w:t xml:space="preserve"> ז"ל);</w:t>
      </w:r>
    </w:p>
    <w:p w:rsidR="00457B60" w:rsidRDefault="00A57BF2" w:rsidP="00457B60">
      <w:pPr>
        <w:spacing w:after="120" w:line="360" w:lineRule="auto"/>
        <w:ind w:left="720"/>
        <w:jc w:val="both"/>
        <w:rPr>
          <w:rFonts w:ascii="David" w:hAnsi="David"/>
          <w:rtl/>
        </w:rPr>
      </w:pPr>
      <w:r>
        <w:rPr>
          <w:rFonts w:ascii="David" w:hAnsi="David"/>
          <w:rtl/>
        </w:rPr>
        <w:t>עדותו של עד קיום אחר (</w:t>
      </w:r>
      <w:r w:rsidR="00457B60">
        <w:rPr>
          <w:rFonts w:ascii="David" w:hAnsi="David"/>
          <w:rtl/>
        </w:rPr>
        <w:t>מתא) לא זכתה לאמון בית המשפט, לרבות בכל הנוגע לנסיבות חתימת הצוואה (סעיף 106 לפסק הדין);</w:t>
      </w:r>
    </w:p>
    <w:p w:rsidR="00457B60" w:rsidRDefault="000F5BF7" w:rsidP="00457B60">
      <w:pPr>
        <w:spacing w:after="120" w:line="360" w:lineRule="auto"/>
        <w:ind w:left="720"/>
        <w:jc w:val="both"/>
        <w:rPr>
          <w:rFonts w:ascii="David" w:hAnsi="David"/>
          <w:rtl/>
        </w:rPr>
      </w:pPr>
      <w:r>
        <w:rPr>
          <w:rFonts w:ascii="David" w:hAnsi="David"/>
          <w:rtl/>
        </w:rPr>
        <w:t>ו'</w:t>
      </w:r>
      <w:r w:rsidR="00457B60">
        <w:rPr>
          <w:rFonts w:ascii="David" w:hAnsi="David"/>
          <w:rtl/>
        </w:rPr>
        <w:t xml:space="preserve"> לא טרח להעיד (פעם נוספת) על עדותו במשטרה בטענה כי הוא סובל מבעיה רפואית ואינו כשיר להעיד (למרות שלא הוכיח עובדה זאת);</w:t>
      </w:r>
    </w:p>
    <w:p w:rsidR="00457B60" w:rsidRDefault="00457B60" w:rsidP="00457B60">
      <w:pPr>
        <w:spacing w:after="120" w:line="360" w:lineRule="auto"/>
        <w:ind w:left="720"/>
        <w:jc w:val="both"/>
        <w:rPr>
          <w:rFonts w:ascii="David" w:hAnsi="David"/>
          <w:rtl/>
        </w:rPr>
      </w:pPr>
      <w:r>
        <w:rPr>
          <w:rFonts w:ascii="David" w:hAnsi="David"/>
          <w:rtl/>
        </w:rPr>
        <w:t xml:space="preserve">לכן יש לומר כי </w:t>
      </w:r>
      <w:r w:rsidR="000F5BF7">
        <w:rPr>
          <w:rFonts w:ascii="David" w:hAnsi="David"/>
          <w:rtl/>
        </w:rPr>
        <w:t>ו'</w:t>
      </w:r>
      <w:r>
        <w:rPr>
          <w:rFonts w:ascii="David" w:hAnsi="David"/>
          <w:rtl/>
        </w:rPr>
        <w:t xml:space="preserve"> לא עמד בנטל הראיה והשכנוע המוטל עליו להוכחת נסיבות חתימת הצוואה שבמחלוקת ויתר המרכיבים בהם יש ספק, כמפורט לעיל.</w:t>
      </w:r>
    </w:p>
    <w:p w:rsidR="00457B60" w:rsidRDefault="00457B60" w:rsidP="00457B60">
      <w:pPr>
        <w:spacing w:after="120" w:line="360" w:lineRule="auto"/>
        <w:ind w:left="720"/>
        <w:jc w:val="both"/>
        <w:rPr>
          <w:rFonts w:ascii="David" w:hAnsi="David"/>
          <w:rtl/>
        </w:rPr>
      </w:pPr>
      <w:r>
        <w:rPr>
          <w:rFonts w:ascii="David" w:hAnsi="David"/>
          <w:rtl/>
        </w:rPr>
        <w:t>מכאן כי על בית משפט קמא היה לקבוע ש</w:t>
      </w:r>
      <w:r w:rsidR="000F5BF7">
        <w:rPr>
          <w:rFonts w:ascii="David" w:hAnsi="David"/>
          <w:rtl/>
        </w:rPr>
        <w:t>ו'</w:t>
      </w:r>
      <w:r>
        <w:rPr>
          <w:rFonts w:ascii="David" w:hAnsi="David"/>
          <w:rtl/>
        </w:rPr>
        <w:t xml:space="preserve"> לא עמד בנטל הראיה והשכנוע המוטל עליו, ולהורות על פסילת הצוואה הנטענת. משלא קבע כך – טעה.</w:t>
      </w:r>
    </w:p>
    <w:p w:rsidR="00457B60" w:rsidRDefault="00457B60" w:rsidP="00457B60">
      <w:pPr>
        <w:spacing w:after="120" w:line="360" w:lineRule="auto"/>
        <w:ind w:left="720" w:hanging="720"/>
        <w:jc w:val="both"/>
        <w:rPr>
          <w:rFonts w:ascii="David" w:hAnsi="David"/>
          <w:rtl/>
        </w:rPr>
      </w:pPr>
      <w:r>
        <w:rPr>
          <w:rFonts w:ascii="David" w:hAnsi="David"/>
          <w:rtl/>
        </w:rPr>
        <w:t>28.</w:t>
      </w:r>
      <w:r>
        <w:rPr>
          <w:rFonts w:ascii="David" w:hAnsi="David"/>
          <w:rtl/>
        </w:rPr>
        <w:tab/>
      </w:r>
      <w:r>
        <w:rPr>
          <w:rFonts w:ascii="David" w:hAnsi="David"/>
          <w:b/>
          <w:bCs/>
          <w:u w:val="single"/>
          <w:rtl/>
        </w:rPr>
        <w:t>כשרות המנוח – הבחנה בטיבה של צוואה</w:t>
      </w:r>
      <w:r>
        <w:rPr>
          <w:rFonts w:ascii="David" w:hAnsi="David"/>
          <w:rtl/>
        </w:rPr>
        <w:t xml:space="preserve"> – באשר לכשרותו של המנוח לחתום על הצוואה שבמחלוקת, המועד הקובע הוא מועד החתימה על הצוואה. ברם בית משפט קמא התעלם מכך ובחן את הדברים למועדי זמן אחרים, ובכך טעה. </w:t>
      </w:r>
    </w:p>
    <w:p w:rsidR="00457B60" w:rsidRDefault="00457B60" w:rsidP="00457B60">
      <w:pPr>
        <w:spacing w:after="120" w:line="360" w:lineRule="auto"/>
        <w:ind w:left="720" w:hanging="720"/>
        <w:jc w:val="both"/>
        <w:rPr>
          <w:rFonts w:ascii="David" w:hAnsi="David"/>
          <w:rtl/>
        </w:rPr>
      </w:pPr>
      <w:r>
        <w:rPr>
          <w:rFonts w:ascii="David" w:hAnsi="David"/>
          <w:rtl/>
        </w:rPr>
        <w:tab/>
        <w:t>כן טעה בית המשפט כשבחן את השאלה הנדונה רק בהיבט המתייחס למצבו הרפואי של המנוח, וכשמצא שמצבו הרפואי היה תקין הכשיר הצוואה.</w:t>
      </w:r>
    </w:p>
    <w:p w:rsidR="00457B60" w:rsidRDefault="00457B60" w:rsidP="00457B60">
      <w:pPr>
        <w:spacing w:after="120" w:line="360" w:lineRule="auto"/>
        <w:ind w:left="720" w:hanging="720"/>
        <w:jc w:val="both"/>
        <w:rPr>
          <w:rFonts w:ascii="David" w:hAnsi="David"/>
          <w:rtl/>
        </w:rPr>
      </w:pPr>
      <w:r>
        <w:rPr>
          <w:rFonts w:ascii="David" w:hAnsi="David"/>
          <w:rtl/>
        </w:rPr>
        <w:tab/>
        <w:t>היה על בית המשפט לבחון בענין כשרות המנוח את מודעותו לכך שעורך צוואה, היקף רכושו, היקף יורשיו, ותוצאות צוואתו (שמדירה יורשים אחרים).</w:t>
      </w:r>
    </w:p>
    <w:p w:rsidR="00457B60" w:rsidRDefault="00457B60" w:rsidP="00457B60">
      <w:pPr>
        <w:spacing w:after="120" w:line="360" w:lineRule="auto"/>
        <w:ind w:left="720" w:hanging="720"/>
        <w:jc w:val="both"/>
        <w:rPr>
          <w:rFonts w:ascii="David" w:hAnsi="David"/>
          <w:rtl/>
        </w:rPr>
      </w:pPr>
      <w:r>
        <w:rPr>
          <w:rFonts w:ascii="David" w:hAnsi="David"/>
          <w:rtl/>
        </w:rPr>
        <w:tab/>
        <w:t xml:space="preserve">נקודות אלה לא הוכחו, ולכן לא ניתן לומר כי הוכחה כשרותו של המנוח לחתום על הצוואה שבמחלוקת. </w:t>
      </w:r>
    </w:p>
    <w:p w:rsidR="00457B60" w:rsidRDefault="00457B60" w:rsidP="00457B60">
      <w:pPr>
        <w:spacing w:after="120" w:line="360" w:lineRule="auto"/>
        <w:ind w:left="720" w:hanging="720"/>
        <w:jc w:val="both"/>
        <w:rPr>
          <w:rFonts w:ascii="David" w:hAnsi="David"/>
          <w:rtl/>
        </w:rPr>
      </w:pPr>
      <w:r>
        <w:rPr>
          <w:rFonts w:ascii="David" w:hAnsi="David"/>
          <w:rtl/>
        </w:rPr>
        <w:lastRenderedPageBreak/>
        <w:t>29.</w:t>
      </w:r>
      <w:r>
        <w:rPr>
          <w:rFonts w:ascii="David" w:hAnsi="David"/>
          <w:rtl/>
        </w:rPr>
        <w:tab/>
      </w:r>
      <w:r>
        <w:rPr>
          <w:rFonts w:ascii="David" w:hAnsi="David"/>
          <w:b/>
          <w:bCs/>
          <w:u w:val="single"/>
          <w:rtl/>
        </w:rPr>
        <w:t xml:space="preserve">מעורבותו של </w:t>
      </w:r>
      <w:r w:rsidR="000F5BF7">
        <w:rPr>
          <w:rFonts w:ascii="David" w:hAnsi="David"/>
          <w:b/>
          <w:bCs/>
          <w:u w:val="single"/>
          <w:rtl/>
        </w:rPr>
        <w:t>ו'</w:t>
      </w:r>
      <w:r>
        <w:rPr>
          <w:rFonts w:ascii="David" w:hAnsi="David"/>
          <w:b/>
          <w:bCs/>
          <w:u w:val="single"/>
          <w:rtl/>
        </w:rPr>
        <w:t xml:space="preserve"> בעריכת צוואה</w:t>
      </w:r>
      <w:r>
        <w:rPr>
          <w:rFonts w:ascii="David" w:hAnsi="David"/>
          <w:b/>
          <w:bCs/>
          <w:rtl/>
        </w:rPr>
        <w:t xml:space="preserve"> </w:t>
      </w:r>
      <w:r>
        <w:rPr>
          <w:rFonts w:ascii="David" w:hAnsi="David"/>
          <w:rtl/>
        </w:rPr>
        <w:t xml:space="preserve">– טעה בית משפט קמא בקביעותיו (סעיפים 121-130 לפסק הדין) שלא היתה מעורבות של </w:t>
      </w:r>
      <w:r w:rsidR="000F5BF7">
        <w:rPr>
          <w:rFonts w:ascii="David" w:hAnsi="David"/>
          <w:rtl/>
        </w:rPr>
        <w:t>ו'</w:t>
      </w:r>
      <w:r>
        <w:rPr>
          <w:rFonts w:ascii="David" w:hAnsi="David"/>
          <w:rtl/>
        </w:rPr>
        <w:t xml:space="preserve"> בעריכת הצוואה, וגם בכך שלא הפך את נטלי הראיה והטילם על </w:t>
      </w:r>
      <w:r w:rsidR="000F5BF7">
        <w:rPr>
          <w:rFonts w:ascii="David" w:hAnsi="David"/>
          <w:rtl/>
        </w:rPr>
        <w:t>ו'</w:t>
      </w:r>
      <w:r>
        <w:rPr>
          <w:rFonts w:ascii="David" w:hAnsi="David"/>
          <w:rtl/>
        </w:rPr>
        <w:t xml:space="preserve">, תוך קביעה כי לא עמד בנטלי ראיה אלה.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בנדון טעה בית משפט כשקבע שמעורבותו של </w:t>
      </w:r>
      <w:r w:rsidR="000F5BF7">
        <w:rPr>
          <w:rFonts w:ascii="David" w:hAnsi="David"/>
          <w:rtl/>
        </w:rPr>
        <w:t>ו'</w:t>
      </w:r>
      <w:r>
        <w:rPr>
          <w:rFonts w:ascii="David" w:hAnsi="David"/>
          <w:rtl/>
        </w:rPr>
        <w:t xml:space="preserve"> בעריכת הצוואה שבמחלוקת היתה מצומצמת וטכנית לחלוטין, ללא מעורבות אקטיבית. בבחינת היותו שליח בלבד.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בנדון טעה בית המשפט, שכן לא הונחו ראיות המבססות קביעות אלה. זאת כיוון שמרגע שעותקי הצוואה הלא חתומות נמסרו על ידי </w:t>
      </w:r>
      <w:r w:rsidR="000F5BF7">
        <w:rPr>
          <w:rFonts w:ascii="David" w:hAnsi="David"/>
          <w:rtl/>
        </w:rPr>
        <w:t>ר'</w:t>
      </w:r>
      <w:r>
        <w:rPr>
          <w:rFonts w:ascii="David" w:hAnsi="David"/>
          <w:rtl/>
        </w:rPr>
        <w:t xml:space="preserve"> לידיו של </w:t>
      </w:r>
      <w:r w:rsidR="000F5BF7">
        <w:rPr>
          <w:rFonts w:ascii="David" w:hAnsi="David"/>
          <w:rtl/>
        </w:rPr>
        <w:t>ו'</w:t>
      </w:r>
      <w:r>
        <w:rPr>
          <w:rFonts w:ascii="David" w:hAnsi="David"/>
          <w:rtl/>
        </w:rPr>
        <w:t xml:space="preserve">, לא ידוע מה אירע לאחר מכן. </w:t>
      </w:r>
    </w:p>
    <w:p w:rsidR="00457B60" w:rsidRDefault="00457B60" w:rsidP="00457B60">
      <w:pPr>
        <w:spacing w:after="120" w:line="360" w:lineRule="auto"/>
        <w:ind w:left="720" w:hanging="720"/>
        <w:jc w:val="both"/>
        <w:rPr>
          <w:rFonts w:ascii="David" w:hAnsi="David"/>
          <w:rtl/>
        </w:rPr>
      </w:pPr>
      <w:r>
        <w:rPr>
          <w:rFonts w:ascii="David" w:hAnsi="David"/>
          <w:rtl/>
        </w:rPr>
        <w:tab/>
        <w:t>בנדון בית משפט קמא לא היה צריך לעסוק בניחושים והשערות אלא לדרוש עובדות מוכחות מ</w:t>
      </w:r>
      <w:r w:rsidR="000F5BF7">
        <w:rPr>
          <w:rFonts w:ascii="David" w:hAnsi="David"/>
          <w:rtl/>
        </w:rPr>
        <w:t>ו'</w:t>
      </w:r>
      <w:r>
        <w:rPr>
          <w:rFonts w:ascii="David" w:hAnsi="David"/>
          <w:rtl/>
        </w:rPr>
        <w:t>, שעליו נטל הראיה והשכנוע בנדון.</w:t>
      </w:r>
    </w:p>
    <w:p w:rsidR="00457B60" w:rsidRDefault="00457B60" w:rsidP="00457B60">
      <w:pPr>
        <w:spacing w:after="120" w:line="360" w:lineRule="auto"/>
        <w:ind w:left="720" w:hanging="720"/>
        <w:jc w:val="both"/>
        <w:rPr>
          <w:rFonts w:ascii="David" w:hAnsi="David"/>
          <w:rtl/>
        </w:rPr>
      </w:pPr>
      <w:r>
        <w:rPr>
          <w:rFonts w:ascii="David" w:hAnsi="David"/>
          <w:rtl/>
        </w:rPr>
        <w:tab/>
        <w:t xml:space="preserve">כך גם טעה בית משפט קמא כשקבע שלא ניתן לקבוע בוודאות כי </w:t>
      </w:r>
      <w:r w:rsidR="000F5BF7">
        <w:rPr>
          <w:rFonts w:ascii="David" w:hAnsi="David"/>
          <w:rtl/>
        </w:rPr>
        <w:t>ו'</w:t>
      </w:r>
      <w:r>
        <w:rPr>
          <w:rFonts w:ascii="David" w:hAnsi="David"/>
          <w:rtl/>
        </w:rPr>
        <w:t xml:space="preserve"> היה נוכח במעמד חתימת הצוואה שבמחלוקת. עובדה זאת נמצאת בידיעתו של </w:t>
      </w:r>
      <w:r w:rsidR="000F5BF7">
        <w:rPr>
          <w:rFonts w:ascii="David" w:hAnsi="David"/>
          <w:rtl/>
        </w:rPr>
        <w:t>ו'</w:t>
      </w:r>
      <w:r>
        <w:rPr>
          <w:rFonts w:ascii="David" w:hAnsi="David"/>
          <w:rtl/>
        </w:rPr>
        <w:t xml:space="preserve">, שנמנע מלהעיד. </w:t>
      </w:r>
    </w:p>
    <w:p w:rsidR="00457B60" w:rsidRDefault="00457B60" w:rsidP="00457B60">
      <w:pPr>
        <w:spacing w:after="120" w:line="360" w:lineRule="auto"/>
        <w:ind w:left="720" w:hanging="720"/>
        <w:jc w:val="both"/>
        <w:rPr>
          <w:rFonts w:ascii="David" w:hAnsi="David"/>
          <w:rtl/>
        </w:rPr>
      </w:pPr>
      <w:r>
        <w:rPr>
          <w:rFonts w:ascii="David" w:hAnsi="David"/>
          <w:rtl/>
        </w:rPr>
        <w:tab/>
        <w:t xml:space="preserve">מבחן השכל הישר מלמד כי היה נוכח במעמד החתימה.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בכל אופן נסיבותיו של המקרה דנן מצביעות על קשר הדוק שבין </w:t>
      </w:r>
      <w:r w:rsidR="000F5BF7">
        <w:rPr>
          <w:rFonts w:ascii="David" w:hAnsi="David"/>
          <w:rtl/>
        </w:rPr>
        <w:t>ו'</w:t>
      </w:r>
      <w:r>
        <w:rPr>
          <w:rFonts w:ascii="David" w:hAnsi="David"/>
          <w:rtl/>
        </w:rPr>
        <w:t xml:space="preserve"> לצוואה שבמחלוקת, שצריך היה להביא לבטלות הצוואה. </w:t>
      </w:r>
    </w:p>
    <w:p w:rsidR="00457B60" w:rsidRDefault="00457B60" w:rsidP="00457B60">
      <w:pPr>
        <w:spacing w:after="120" w:line="360" w:lineRule="auto"/>
        <w:ind w:left="720" w:hanging="720"/>
        <w:jc w:val="both"/>
        <w:rPr>
          <w:rFonts w:ascii="David" w:hAnsi="David"/>
          <w:rtl/>
        </w:rPr>
      </w:pPr>
      <w:r>
        <w:rPr>
          <w:rFonts w:ascii="David" w:hAnsi="David"/>
          <w:rtl/>
        </w:rPr>
        <w:t>30.</w:t>
      </w:r>
      <w:r>
        <w:rPr>
          <w:rFonts w:ascii="David" w:hAnsi="David"/>
          <w:rtl/>
        </w:rPr>
        <w:tab/>
      </w:r>
      <w:r>
        <w:rPr>
          <w:rFonts w:ascii="David" w:hAnsi="David"/>
          <w:b/>
          <w:bCs/>
          <w:u w:val="single"/>
          <w:rtl/>
        </w:rPr>
        <w:t>השפעה בלתי הוגנת</w:t>
      </w:r>
      <w:r>
        <w:rPr>
          <w:rFonts w:ascii="David" w:hAnsi="David"/>
          <w:rtl/>
        </w:rPr>
        <w:t xml:space="preserve"> – טעה בית משפט קמא בקביעותיו בסוגיית ההשפעה הבלתי הוגנת (סעיף 131-135 לפסק הדין), החל בכך שלא הפך את הנטלים וקבע כי על </w:t>
      </w:r>
      <w:r w:rsidR="000F5BF7">
        <w:rPr>
          <w:rFonts w:ascii="David" w:hAnsi="David"/>
          <w:rtl/>
        </w:rPr>
        <w:t>ו'</w:t>
      </w:r>
      <w:r>
        <w:rPr>
          <w:rFonts w:ascii="David" w:hAnsi="David"/>
          <w:rtl/>
        </w:rPr>
        <w:t xml:space="preserve"> להוכיח כי לא היתה השפעה בלתי הוגנת, וכי לא עלה בידו להרים את הנטל שהועבר אליו; וכלה בקביעתו כי לא היתה השפעה בלתי הוגנת.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בנדון התקיימו יסודות </w:t>
      </w:r>
      <w:r>
        <w:rPr>
          <w:rFonts w:ascii="David" w:hAnsi="David"/>
          <w:b/>
          <w:bCs/>
          <w:rtl/>
        </w:rPr>
        <w:t xml:space="preserve">הלכת מרום </w:t>
      </w:r>
      <w:r>
        <w:rPr>
          <w:rFonts w:ascii="David" w:hAnsi="David"/>
          <w:rtl/>
        </w:rPr>
        <w:t xml:space="preserve">להוכחת השפעה בלתי הוגנת. </w:t>
      </w:r>
    </w:p>
    <w:p w:rsidR="00457B60" w:rsidRDefault="00457B60" w:rsidP="00457B60">
      <w:pPr>
        <w:spacing w:after="120" w:line="360" w:lineRule="auto"/>
        <w:ind w:left="720" w:hanging="720"/>
        <w:jc w:val="both"/>
        <w:rPr>
          <w:rFonts w:ascii="David" w:hAnsi="David"/>
          <w:rtl/>
        </w:rPr>
      </w:pPr>
      <w:r>
        <w:rPr>
          <w:rFonts w:ascii="David" w:hAnsi="David"/>
          <w:rtl/>
        </w:rPr>
        <w:t>31.</w:t>
      </w:r>
      <w:r>
        <w:rPr>
          <w:rFonts w:ascii="David" w:hAnsi="David"/>
          <w:rtl/>
        </w:rPr>
        <w:tab/>
      </w:r>
      <w:r>
        <w:rPr>
          <w:rFonts w:ascii="David" w:hAnsi="David"/>
          <w:b/>
          <w:bCs/>
          <w:u w:val="single"/>
          <w:rtl/>
        </w:rPr>
        <w:t>שיהוי ונזק ראייתי</w:t>
      </w:r>
      <w:r>
        <w:rPr>
          <w:rFonts w:ascii="David" w:hAnsi="David"/>
          <w:rtl/>
        </w:rPr>
        <w:t xml:space="preserve"> – המנוח נפטר בשנת 1983. צו הירושה ניתן בשנת 1996. הצוואה שבמחלוקת גולתה רק בשנת 2003. צו הקיום ניתן בשנת 2009.</w:t>
      </w:r>
    </w:p>
    <w:p w:rsidR="00457B60" w:rsidRDefault="00457B60" w:rsidP="00457B60">
      <w:pPr>
        <w:spacing w:after="120" w:line="360" w:lineRule="auto"/>
        <w:ind w:left="720" w:hanging="720"/>
        <w:jc w:val="both"/>
        <w:rPr>
          <w:rFonts w:ascii="David" w:hAnsi="David"/>
          <w:rtl/>
        </w:rPr>
      </w:pPr>
      <w:r>
        <w:rPr>
          <w:rFonts w:ascii="David" w:hAnsi="David"/>
          <w:rtl/>
        </w:rPr>
        <w:tab/>
        <w:t>השיהוי בגילוי הצוואה גרם נזק ראייתי ל</w:t>
      </w:r>
      <w:r w:rsidR="000F5BF7">
        <w:rPr>
          <w:rFonts w:ascii="David" w:hAnsi="David"/>
          <w:rtl/>
        </w:rPr>
        <w:t>מ'</w:t>
      </w:r>
      <w:r>
        <w:rPr>
          <w:rFonts w:ascii="David" w:hAnsi="David"/>
          <w:rtl/>
        </w:rPr>
        <w:t xml:space="preserve"> ו</w:t>
      </w:r>
      <w:r w:rsidR="000F5BF7">
        <w:rPr>
          <w:rFonts w:ascii="David" w:hAnsi="David"/>
          <w:rtl/>
        </w:rPr>
        <w:t>ס'</w:t>
      </w:r>
      <w:r w:rsidR="00A57BF2">
        <w:rPr>
          <w:rFonts w:ascii="David" w:hAnsi="David"/>
          <w:rtl/>
        </w:rPr>
        <w:t>, שכן אחד מעדי הקיום (</w:t>
      </w:r>
      <w:r w:rsidR="00A57BF2">
        <w:rPr>
          <w:rFonts w:ascii="David" w:hAnsi="David" w:hint="cs"/>
          <w:rtl/>
        </w:rPr>
        <w:t>ו.ע</w:t>
      </w:r>
      <w:r>
        <w:rPr>
          <w:rFonts w:ascii="David" w:hAnsi="David"/>
          <w:rtl/>
        </w:rPr>
        <w:t xml:space="preserve"> ז"ל) נפטר, ו-</w:t>
      </w:r>
      <w:r w:rsidR="000F5BF7">
        <w:rPr>
          <w:rFonts w:ascii="David" w:hAnsi="David"/>
          <w:rtl/>
        </w:rPr>
        <w:t>ו'</w:t>
      </w:r>
      <w:r>
        <w:rPr>
          <w:rFonts w:ascii="David" w:hAnsi="David"/>
          <w:rtl/>
        </w:rPr>
        <w:t xml:space="preserve"> טוען כי אינו כשיר להעיד. </w:t>
      </w:r>
    </w:p>
    <w:p w:rsidR="00457B60" w:rsidRDefault="00457B60" w:rsidP="00484611">
      <w:pPr>
        <w:spacing w:after="120" w:line="360" w:lineRule="auto"/>
        <w:ind w:left="720" w:hanging="720"/>
        <w:jc w:val="both"/>
        <w:rPr>
          <w:rFonts w:ascii="David" w:hAnsi="David"/>
          <w:rtl/>
        </w:rPr>
      </w:pPr>
      <w:r>
        <w:rPr>
          <w:rFonts w:ascii="David" w:hAnsi="David"/>
          <w:rtl/>
        </w:rPr>
        <w:t>32.</w:t>
      </w:r>
      <w:r>
        <w:rPr>
          <w:rFonts w:ascii="David" w:hAnsi="David"/>
          <w:rtl/>
        </w:rPr>
        <w:tab/>
        <w:t xml:space="preserve">יורשי המנוח </w:t>
      </w:r>
      <w:r w:rsidR="000F5BF7">
        <w:rPr>
          <w:rFonts w:ascii="David" w:hAnsi="David"/>
          <w:rtl/>
        </w:rPr>
        <w:t>ס'</w:t>
      </w:r>
      <w:r>
        <w:rPr>
          <w:rFonts w:ascii="David" w:hAnsi="David"/>
          <w:rtl/>
        </w:rPr>
        <w:t xml:space="preserve"> הגישו כתב תשובה לערעורו של </w:t>
      </w:r>
      <w:r w:rsidR="000F5BF7">
        <w:rPr>
          <w:rFonts w:ascii="David" w:hAnsi="David"/>
          <w:rtl/>
        </w:rPr>
        <w:t>מ'</w:t>
      </w:r>
      <w:r>
        <w:rPr>
          <w:rFonts w:ascii="David" w:hAnsi="David"/>
          <w:rtl/>
        </w:rPr>
        <w:t xml:space="preserve">, בו הצטרפו למעשה לכל טענותיו של </w:t>
      </w:r>
      <w:r w:rsidR="000F5BF7">
        <w:rPr>
          <w:rFonts w:ascii="David" w:hAnsi="David"/>
          <w:rtl/>
        </w:rPr>
        <w:t>מ'</w:t>
      </w:r>
      <w:r>
        <w:rPr>
          <w:rFonts w:ascii="David" w:hAnsi="David"/>
          <w:rtl/>
        </w:rPr>
        <w:t xml:space="preserve"> בערעור. </w:t>
      </w:r>
    </w:p>
    <w:p w:rsidR="00457B60" w:rsidRDefault="00457B60" w:rsidP="00457B60">
      <w:pPr>
        <w:spacing w:after="120" w:line="360" w:lineRule="auto"/>
        <w:ind w:left="720" w:hanging="720"/>
        <w:jc w:val="both"/>
        <w:rPr>
          <w:rFonts w:ascii="David" w:hAnsi="David"/>
          <w:b/>
          <w:bCs/>
          <w:u w:val="single"/>
          <w:rtl/>
        </w:rPr>
      </w:pPr>
      <w:r>
        <w:rPr>
          <w:rFonts w:ascii="David" w:hAnsi="David"/>
          <w:rtl/>
        </w:rPr>
        <w:t xml:space="preserve"> </w:t>
      </w:r>
    </w:p>
    <w:p w:rsidR="00457B60" w:rsidRDefault="00457B60" w:rsidP="00457B60">
      <w:pPr>
        <w:spacing w:after="120" w:line="360" w:lineRule="auto"/>
        <w:jc w:val="both"/>
        <w:rPr>
          <w:rFonts w:ascii="David" w:hAnsi="David"/>
          <w:u w:val="single"/>
          <w:rtl/>
        </w:rPr>
      </w:pPr>
      <w:r>
        <w:rPr>
          <w:rFonts w:ascii="David" w:hAnsi="David"/>
          <w:b/>
          <w:bCs/>
          <w:u w:val="single"/>
          <w:rtl/>
        </w:rPr>
        <w:t xml:space="preserve">טענותיהם של יורשי </w:t>
      </w:r>
      <w:r w:rsidR="000F5BF7">
        <w:rPr>
          <w:rFonts w:ascii="David" w:hAnsi="David"/>
          <w:b/>
          <w:bCs/>
          <w:u w:val="single"/>
          <w:rtl/>
        </w:rPr>
        <w:t>ס'</w:t>
      </w:r>
      <w:r>
        <w:rPr>
          <w:rFonts w:ascii="David" w:hAnsi="David"/>
          <w:b/>
          <w:bCs/>
          <w:u w:val="single"/>
          <w:rtl/>
        </w:rPr>
        <w:t xml:space="preserve"> בערעורם </w:t>
      </w:r>
      <w:r>
        <w:rPr>
          <w:rFonts w:ascii="David" w:hAnsi="David"/>
          <w:u w:val="single"/>
          <w:rtl/>
        </w:rPr>
        <w:t>(עמ"ש 5326-12-23)</w:t>
      </w:r>
    </w:p>
    <w:p w:rsidR="00457B60" w:rsidRDefault="00457B60" w:rsidP="00457B60">
      <w:pPr>
        <w:spacing w:after="120" w:line="360" w:lineRule="auto"/>
        <w:ind w:left="720" w:hanging="720"/>
        <w:jc w:val="both"/>
        <w:rPr>
          <w:rFonts w:ascii="David" w:hAnsi="David"/>
          <w:rtl/>
        </w:rPr>
      </w:pPr>
      <w:r>
        <w:rPr>
          <w:rFonts w:ascii="David" w:hAnsi="David"/>
          <w:rtl/>
        </w:rPr>
        <w:t>33.</w:t>
      </w:r>
      <w:r>
        <w:rPr>
          <w:rFonts w:ascii="David" w:hAnsi="David"/>
          <w:rtl/>
        </w:rPr>
        <w:tab/>
      </w:r>
      <w:r>
        <w:rPr>
          <w:rFonts w:ascii="David" w:hAnsi="David"/>
          <w:b/>
          <w:bCs/>
          <w:u w:val="single"/>
          <w:rtl/>
        </w:rPr>
        <w:t>פסק</w:t>
      </w:r>
      <w:r>
        <w:rPr>
          <w:rFonts w:ascii="David" w:hAnsi="David"/>
          <w:u w:val="single"/>
          <w:rtl/>
        </w:rPr>
        <w:t xml:space="preserve"> </w:t>
      </w:r>
      <w:r>
        <w:rPr>
          <w:rFonts w:ascii="David" w:hAnsi="David"/>
          <w:b/>
          <w:bCs/>
          <w:u w:val="single"/>
          <w:rtl/>
        </w:rPr>
        <w:t>הדין</w:t>
      </w:r>
      <w:r>
        <w:rPr>
          <w:rFonts w:ascii="David" w:hAnsi="David"/>
          <w:u w:val="single"/>
          <w:rtl/>
        </w:rPr>
        <w:t xml:space="preserve"> </w:t>
      </w:r>
      <w:r>
        <w:rPr>
          <w:rFonts w:ascii="David" w:hAnsi="David"/>
          <w:b/>
          <w:bCs/>
          <w:u w:val="single"/>
          <w:rtl/>
        </w:rPr>
        <w:t>לוקה בסתירה</w:t>
      </w:r>
      <w:r>
        <w:rPr>
          <w:rFonts w:ascii="David" w:hAnsi="David"/>
          <w:u w:val="single"/>
          <w:rtl/>
        </w:rPr>
        <w:t xml:space="preserve"> </w:t>
      </w:r>
      <w:r>
        <w:rPr>
          <w:rFonts w:ascii="David" w:hAnsi="David"/>
          <w:b/>
          <w:bCs/>
          <w:u w:val="single"/>
          <w:rtl/>
        </w:rPr>
        <w:t>פנימית והינו בבחינת "אות מתה"</w:t>
      </w:r>
      <w:r>
        <w:rPr>
          <w:rFonts w:ascii="David" w:hAnsi="David"/>
          <w:rtl/>
        </w:rPr>
        <w:t xml:space="preserve"> – טעה בית משפט בתוצאה אליה הגיע בפסק הדין, שאינו ניתן לביצוע או לאכיפה, ואף עומד בסתירה להסכם החלוקה עליו חתמו האחים. </w:t>
      </w:r>
    </w:p>
    <w:p w:rsidR="00457B60" w:rsidRDefault="00457B60" w:rsidP="00457B60">
      <w:pPr>
        <w:spacing w:after="120" w:line="360" w:lineRule="auto"/>
        <w:ind w:left="720" w:hanging="720"/>
        <w:jc w:val="both"/>
        <w:rPr>
          <w:rFonts w:ascii="David" w:hAnsi="David"/>
          <w:rtl/>
        </w:rPr>
      </w:pPr>
      <w:r>
        <w:rPr>
          <w:rFonts w:ascii="David" w:hAnsi="David"/>
          <w:rtl/>
        </w:rPr>
        <w:lastRenderedPageBreak/>
        <w:tab/>
        <w:t xml:space="preserve">זאת כשבסעיף 138 לפסק הדין קבע בית משפט קמא כי הסכם החלוקה סותר את הוראות הצוואה שבמחלוקת.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במהלך השנים ביצעו האחים עסקאות מכר במקרקעין שיועדו להם על פי הסכם החלוקה, כך שבפועל צו קיום הצוואה הפך לבלתי ניתן ליישום "בשטח". </w:t>
      </w:r>
    </w:p>
    <w:p w:rsidR="00457B60" w:rsidRDefault="00457B60" w:rsidP="00457B60">
      <w:pPr>
        <w:spacing w:after="120" w:line="360" w:lineRule="auto"/>
        <w:ind w:left="720" w:hanging="720"/>
        <w:jc w:val="both"/>
        <w:rPr>
          <w:rFonts w:ascii="David" w:hAnsi="David"/>
          <w:rtl/>
        </w:rPr>
      </w:pPr>
      <w:r>
        <w:rPr>
          <w:rFonts w:ascii="David" w:hAnsi="David"/>
          <w:rtl/>
        </w:rPr>
        <w:t>34.</w:t>
      </w:r>
      <w:r>
        <w:rPr>
          <w:rFonts w:ascii="David" w:hAnsi="David"/>
          <w:rtl/>
        </w:rPr>
        <w:tab/>
      </w:r>
      <w:r>
        <w:rPr>
          <w:rFonts w:ascii="David" w:hAnsi="David"/>
          <w:b/>
          <w:bCs/>
          <w:u w:val="single"/>
          <w:rtl/>
        </w:rPr>
        <w:t xml:space="preserve">טעה בית משפט קמא כשהתעלם מהודאת </w:t>
      </w:r>
      <w:r w:rsidR="000F5BF7">
        <w:rPr>
          <w:rFonts w:ascii="David" w:hAnsi="David"/>
          <w:b/>
          <w:bCs/>
          <w:u w:val="single"/>
          <w:rtl/>
        </w:rPr>
        <w:t>ו'</w:t>
      </w:r>
      <w:r>
        <w:rPr>
          <w:rFonts w:ascii="David" w:hAnsi="David"/>
          <w:b/>
          <w:bCs/>
          <w:u w:val="single"/>
          <w:rtl/>
        </w:rPr>
        <w:t xml:space="preserve"> לפיה הצוואה אינה קיימת ולא נעשתה מעולם</w:t>
      </w:r>
      <w:r>
        <w:rPr>
          <w:rFonts w:ascii="David" w:hAnsi="David"/>
          <w:rtl/>
        </w:rPr>
        <w:t xml:space="preserve"> – בחקירתו הנגדית </w:t>
      </w:r>
      <w:r w:rsidR="000F5BF7">
        <w:rPr>
          <w:rFonts w:ascii="David" w:hAnsi="David"/>
          <w:rtl/>
        </w:rPr>
        <w:t>ו'</w:t>
      </w:r>
      <w:r>
        <w:rPr>
          <w:rFonts w:ascii="David" w:hAnsi="David"/>
          <w:rtl/>
        </w:rPr>
        <w:t xml:space="preserve"> נשאל שוב ושוב על הצוואה שבמחלוקת ושלל מכל וכל את קיומה. הוא הוסיף כי לא ראה אותה מעולם ואינו יודע דבר לגביה (פרו' דיון 8.1.18 עמ' 35 שו' 12-17);</w:t>
      </w:r>
    </w:p>
    <w:p w:rsidR="00457B60" w:rsidRDefault="00457B60" w:rsidP="00457B60">
      <w:pPr>
        <w:spacing w:after="120" w:line="360" w:lineRule="auto"/>
        <w:ind w:left="720" w:hanging="720"/>
        <w:jc w:val="both"/>
        <w:rPr>
          <w:rFonts w:ascii="David" w:hAnsi="David"/>
          <w:rtl/>
        </w:rPr>
      </w:pPr>
      <w:r>
        <w:rPr>
          <w:rFonts w:ascii="David" w:hAnsi="David"/>
          <w:rtl/>
        </w:rPr>
        <w:tab/>
        <w:t xml:space="preserve">אם כן בפנינו הודאה ברורה של </w:t>
      </w:r>
      <w:r w:rsidR="000F5BF7">
        <w:rPr>
          <w:rFonts w:ascii="David" w:hAnsi="David"/>
          <w:rtl/>
        </w:rPr>
        <w:t>ו'</w:t>
      </w:r>
      <w:r>
        <w:rPr>
          <w:rFonts w:ascii="David" w:hAnsi="David"/>
          <w:rtl/>
        </w:rPr>
        <w:t xml:space="preserve"> כי אינו דבר על אודות הצוואה שבמחלוקת.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במצב דברים זה, טעה בית המשפט כשהתעלם מהודאה זאת של </w:t>
      </w:r>
      <w:r w:rsidR="000F5BF7">
        <w:rPr>
          <w:rFonts w:ascii="David" w:hAnsi="David"/>
          <w:rtl/>
        </w:rPr>
        <w:t>ו'</w:t>
      </w:r>
      <w:r>
        <w:rPr>
          <w:rFonts w:ascii="David" w:hAnsi="David"/>
          <w:rtl/>
        </w:rPr>
        <w:t xml:space="preserve">. </w:t>
      </w:r>
    </w:p>
    <w:p w:rsidR="00457B60" w:rsidRDefault="00457B60" w:rsidP="00457B60">
      <w:pPr>
        <w:spacing w:after="120" w:line="360" w:lineRule="auto"/>
        <w:ind w:left="720" w:hanging="720"/>
        <w:jc w:val="both"/>
        <w:rPr>
          <w:rFonts w:ascii="David" w:hAnsi="David"/>
          <w:rtl/>
        </w:rPr>
      </w:pPr>
      <w:r>
        <w:rPr>
          <w:rFonts w:ascii="David" w:hAnsi="David"/>
          <w:rtl/>
        </w:rPr>
        <w:t>35.</w:t>
      </w:r>
      <w:r>
        <w:rPr>
          <w:rFonts w:ascii="David" w:hAnsi="David"/>
          <w:rtl/>
        </w:rPr>
        <w:tab/>
      </w:r>
      <w:r>
        <w:rPr>
          <w:rFonts w:ascii="David" w:hAnsi="David"/>
          <w:b/>
          <w:bCs/>
          <w:u w:val="single"/>
          <w:rtl/>
        </w:rPr>
        <w:t>טעה בית המשפט כשלא ביטל את הצוואה בהיותה לא הגיונית ובלתי סבירה</w:t>
      </w:r>
      <w:r>
        <w:rPr>
          <w:rFonts w:ascii="David" w:hAnsi="David"/>
          <w:rtl/>
        </w:rPr>
        <w:t xml:space="preserve"> – טענתו העיקרית של </w:t>
      </w:r>
      <w:r w:rsidR="000F5BF7">
        <w:rPr>
          <w:rFonts w:ascii="David" w:hAnsi="David"/>
          <w:rtl/>
        </w:rPr>
        <w:t>ס'</w:t>
      </w:r>
      <w:r>
        <w:rPr>
          <w:rFonts w:ascii="David" w:hAnsi="David"/>
          <w:rtl/>
        </w:rPr>
        <w:t xml:space="preserve"> בבית משפט קמא היתה, שהצוואה אינה הגיונית ובלתי סבירה, דבר המלמד על אי אמיתותה ועל השפעה בלתי הוגנת.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ברם בית משפט קמא לא קיים דיון ראוי בטענה זאת, והסתפק בסעיף אחד בפסק הדין (סעיף 107) בין מספר שורות, וגם התייחסותו המינורית שם הינה שגויה. </w:t>
      </w:r>
    </w:p>
    <w:p w:rsidR="00457B60" w:rsidRDefault="00457B60" w:rsidP="00457B60">
      <w:pPr>
        <w:spacing w:after="120" w:line="360" w:lineRule="auto"/>
        <w:ind w:left="720" w:hanging="720"/>
        <w:jc w:val="both"/>
        <w:rPr>
          <w:rFonts w:ascii="David" w:hAnsi="David"/>
          <w:rtl/>
        </w:rPr>
      </w:pPr>
      <w:r>
        <w:rPr>
          <w:rFonts w:ascii="David" w:hAnsi="David"/>
          <w:rtl/>
        </w:rPr>
        <w:tab/>
        <w:t xml:space="preserve">אחד המבחנים העיקריים לבחינת אמיתותה של צוואה ולבחינת קיומה של השפעה בלתי הוגנת, הוא מבחן הגיונה של הצוואה. </w:t>
      </w:r>
    </w:p>
    <w:p w:rsidR="00457B60" w:rsidRDefault="00457B60" w:rsidP="00457B60">
      <w:pPr>
        <w:spacing w:after="120" w:line="360" w:lineRule="auto"/>
        <w:ind w:left="720" w:hanging="720"/>
        <w:jc w:val="both"/>
        <w:rPr>
          <w:rFonts w:ascii="David" w:hAnsi="David"/>
          <w:u w:val="single"/>
          <w:rtl/>
        </w:rPr>
      </w:pPr>
      <w:r>
        <w:rPr>
          <w:rFonts w:ascii="David" w:hAnsi="David"/>
          <w:rtl/>
        </w:rPr>
        <w:tab/>
      </w:r>
      <w:r>
        <w:rPr>
          <w:rFonts w:ascii="David" w:hAnsi="David"/>
          <w:u w:val="single"/>
          <w:rtl/>
        </w:rPr>
        <w:t>הצוואה דנן בלתי הגיונית משני טעמים:</w:t>
      </w:r>
    </w:p>
    <w:p w:rsidR="00457B60" w:rsidRDefault="00457B60" w:rsidP="00457B60">
      <w:pPr>
        <w:spacing w:after="120" w:line="360" w:lineRule="auto"/>
        <w:ind w:left="720" w:hanging="720"/>
        <w:jc w:val="both"/>
        <w:rPr>
          <w:rFonts w:ascii="David" w:hAnsi="David"/>
          <w:rtl/>
        </w:rPr>
      </w:pPr>
      <w:r>
        <w:rPr>
          <w:rFonts w:ascii="David" w:hAnsi="David"/>
          <w:rtl/>
        </w:rPr>
        <w:tab/>
        <w:t>הראשון – היא מעניקה את מלוא עזבון המנוח ל</w:t>
      </w:r>
      <w:r w:rsidR="000F5BF7">
        <w:rPr>
          <w:rFonts w:ascii="David" w:hAnsi="David"/>
          <w:rtl/>
        </w:rPr>
        <w:t>ו'</w:t>
      </w:r>
      <w:r>
        <w:rPr>
          <w:rFonts w:ascii="David" w:hAnsi="David"/>
          <w:rtl/>
        </w:rPr>
        <w:t>, תוך נישול שני האחים האחרים, שהיו זוכים בצוואה הראשונה והשנייה. זאת ללא הוכחת כל מניע או סיבה לכך.</w:t>
      </w:r>
    </w:p>
    <w:p w:rsidR="00457B60" w:rsidRDefault="00457B60" w:rsidP="00457B60">
      <w:pPr>
        <w:spacing w:after="120" w:line="360" w:lineRule="auto"/>
        <w:ind w:left="720" w:hanging="720"/>
        <w:jc w:val="both"/>
        <w:rPr>
          <w:rFonts w:ascii="David" w:hAnsi="David"/>
          <w:rtl/>
        </w:rPr>
      </w:pPr>
      <w:r>
        <w:rPr>
          <w:rFonts w:ascii="David" w:hAnsi="David"/>
          <w:rtl/>
        </w:rPr>
        <w:tab/>
        <w:t xml:space="preserve">השני – בין הצדדים נחתם הסכם חלוקה שלא בוטל, לפיו חולקו נכסי העזבון בין האחים בחלוקה שווה.  </w:t>
      </w:r>
    </w:p>
    <w:p w:rsidR="00457B60" w:rsidRDefault="00457B60" w:rsidP="00457B60">
      <w:pPr>
        <w:spacing w:after="120" w:line="360" w:lineRule="auto"/>
        <w:ind w:left="720" w:hanging="720"/>
        <w:jc w:val="both"/>
        <w:rPr>
          <w:rFonts w:ascii="David" w:hAnsi="David"/>
          <w:rtl/>
        </w:rPr>
      </w:pPr>
      <w:r>
        <w:rPr>
          <w:rFonts w:ascii="David" w:hAnsi="David"/>
          <w:rtl/>
        </w:rPr>
        <w:tab/>
        <w:t xml:space="preserve">מבחן נישול היורשים האחרים בצוואה יכול להוות בעל משמעות בבחינת כשרות המצווה או אמיתות הצוואה או השפעה בלתי הוגנת. במקרה הנדון בית משפט קמא אכן בחן את מבחן נישול היורשים בפסק הדין (סעיף 107) אך הוא טעה בישום המבחן, בנסיבות המקרה דנן כששלוש הצוואות נערכו בפרקי זמן קצרים זו מזו, ולא היה מניע או סיבה נראית לעין לנישול שני האחים בצוואה (האחרונה) שבמחלוקת.  </w:t>
      </w:r>
    </w:p>
    <w:p w:rsidR="00457B60" w:rsidRDefault="00457B60" w:rsidP="00457B60">
      <w:pPr>
        <w:spacing w:after="120" w:line="360" w:lineRule="auto"/>
        <w:ind w:left="720" w:hanging="720"/>
        <w:jc w:val="both"/>
        <w:rPr>
          <w:rFonts w:ascii="David" w:hAnsi="David"/>
          <w:rtl/>
        </w:rPr>
      </w:pPr>
      <w:r>
        <w:rPr>
          <w:rFonts w:ascii="David" w:hAnsi="David"/>
          <w:rtl/>
        </w:rPr>
        <w:t>36.</w:t>
      </w:r>
      <w:r>
        <w:rPr>
          <w:rFonts w:ascii="David" w:hAnsi="David"/>
          <w:rtl/>
        </w:rPr>
        <w:tab/>
      </w:r>
      <w:r>
        <w:rPr>
          <w:rFonts w:ascii="David" w:hAnsi="David"/>
          <w:b/>
          <w:bCs/>
          <w:u w:val="single"/>
          <w:rtl/>
        </w:rPr>
        <w:t>טעה בית משפט קמא כשקבע שלא הוכחה השפעה בלתי הוגנת</w:t>
      </w:r>
      <w:r>
        <w:rPr>
          <w:rFonts w:ascii="David" w:hAnsi="David"/>
          <w:rtl/>
        </w:rPr>
        <w:t xml:space="preserve"> – לפי קביעת בית משפט עצמו (סעיף 133) עולה כי המנוח לא היה עצמאי, ונזקק לעזרת </w:t>
      </w:r>
      <w:r w:rsidR="000F5BF7">
        <w:rPr>
          <w:rFonts w:ascii="David" w:hAnsi="David"/>
          <w:rtl/>
        </w:rPr>
        <w:t>ו'</w:t>
      </w:r>
      <w:r>
        <w:rPr>
          <w:rFonts w:ascii="David" w:hAnsi="David"/>
          <w:rtl/>
        </w:rPr>
        <w:t xml:space="preserve"> בפעולותיו היומיומיות. מבחן זה כבר פועל לכיוון של השפעה בלתי הוגנת. </w:t>
      </w:r>
    </w:p>
    <w:p w:rsidR="00457B60" w:rsidRDefault="00457B60" w:rsidP="00457B60">
      <w:pPr>
        <w:spacing w:after="120" w:line="360" w:lineRule="auto"/>
        <w:ind w:left="720" w:hanging="720"/>
        <w:jc w:val="both"/>
        <w:rPr>
          <w:rFonts w:ascii="David" w:hAnsi="David"/>
          <w:rtl/>
        </w:rPr>
      </w:pPr>
      <w:r>
        <w:rPr>
          <w:rFonts w:ascii="David" w:hAnsi="David"/>
          <w:rtl/>
        </w:rPr>
        <w:lastRenderedPageBreak/>
        <w:tab/>
        <w:t xml:space="preserve">במקרה כזה, לכל הפחות, היה מקום להעביר את נטל השכנוע ולהטילו על </w:t>
      </w:r>
      <w:r w:rsidR="000F5BF7">
        <w:rPr>
          <w:rFonts w:ascii="David" w:hAnsi="David"/>
          <w:rtl/>
        </w:rPr>
        <w:t>ו'</w:t>
      </w:r>
      <w:r>
        <w:rPr>
          <w:rFonts w:ascii="David" w:hAnsi="David"/>
          <w:rtl/>
        </w:rPr>
        <w:t xml:space="preserve"> להוכיח העדר קיומה של השפעה בלתי הוגנת. לכן טעה בית המשפט כשלא עשה כן, אלא קבע בדיוק הפוך – כי </w:t>
      </w:r>
      <w:r w:rsidR="000F5BF7">
        <w:rPr>
          <w:rFonts w:ascii="David" w:hAnsi="David"/>
          <w:rtl/>
        </w:rPr>
        <w:t>מ'</w:t>
      </w:r>
      <w:r>
        <w:rPr>
          <w:rFonts w:ascii="David" w:hAnsi="David"/>
          <w:rtl/>
        </w:rPr>
        <w:t xml:space="preserve"> ו</w:t>
      </w:r>
      <w:r w:rsidR="000F5BF7">
        <w:rPr>
          <w:rFonts w:ascii="David" w:hAnsi="David"/>
          <w:rtl/>
        </w:rPr>
        <w:t>ס'</w:t>
      </w:r>
      <w:r>
        <w:rPr>
          <w:rFonts w:ascii="David" w:hAnsi="David"/>
          <w:rtl/>
        </w:rPr>
        <w:t xml:space="preserve"> לא הוכיחו קיומה של השפעה בלתי הוגנת.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בית המשפט גם טעה כשלא בחן במסגרת ההשפעה הבלתי הוגנת מבחנים נוספים, מעבר למבחני </w:t>
      </w:r>
      <w:r>
        <w:rPr>
          <w:rFonts w:ascii="David" w:hAnsi="David"/>
          <w:b/>
          <w:bCs/>
          <w:rtl/>
        </w:rPr>
        <w:t>הלכת מרום</w:t>
      </w:r>
      <w:r>
        <w:rPr>
          <w:rFonts w:ascii="David" w:hAnsi="David"/>
          <w:rtl/>
        </w:rPr>
        <w:t xml:space="preserve">, אשר הם מבחן הנישול ומבחן הגיונה של צוואה, המטים את הכף לכיוון קיומה של השפעה בלתי הוגנת. בית משפט קמא בחן מבחנים נוספים אלה רק בהתייחס לטענת אי אמיתות הצוואה, ובכך טעה. </w:t>
      </w:r>
    </w:p>
    <w:p w:rsidR="00457B60" w:rsidRDefault="00457B60" w:rsidP="00457B60">
      <w:pPr>
        <w:spacing w:after="120" w:line="360" w:lineRule="auto"/>
        <w:ind w:left="720" w:hanging="720"/>
        <w:jc w:val="both"/>
        <w:rPr>
          <w:rFonts w:ascii="David" w:hAnsi="David"/>
          <w:rtl/>
        </w:rPr>
      </w:pPr>
      <w:r>
        <w:rPr>
          <w:rFonts w:ascii="David" w:hAnsi="David"/>
          <w:rtl/>
        </w:rPr>
        <w:t>37.</w:t>
      </w:r>
      <w:r>
        <w:rPr>
          <w:rFonts w:ascii="David" w:hAnsi="David"/>
          <w:rtl/>
        </w:rPr>
        <w:tab/>
      </w:r>
      <w:r>
        <w:rPr>
          <w:rFonts w:ascii="David" w:hAnsi="David"/>
          <w:b/>
          <w:bCs/>
          <w:u w:val="single"/>
          <w:rtl/>
        </w:rPr>
        <w:t xml:space="preserve">טעה בית משפט קמא כשלא ביטל את הצוואה שבמחלוקת חרף הודאתו של </w:t>
      </w:r>
      <w:r w:rsidR="000F5BF7">
        <w:rPr>
          <w:rFonts w:ascii="David" w:hAnsi="David"/>
          <w:b/>
          <w:bCs/>
          <w:u w:val="single"/>
          <w:rtl/>
        </w:rPr>
        <w:t>ו'</w:t>
      </w:r>
      <w:r>
        <w:rPr>
          <w:rFonts w:ascii="David" w:hAnsi="David"/>
          <w:b/>
          <w:bCs/>
          <w:u w:val="single"/>
          <w:rtl/>
        </w:rPr>
        <w:t xml:space="preserve"> בבטלותה וויתורו עליה</w:t>
      </w:r>
      <w:r>
        <w:rPr>
          <w:rFonts w:ascii="David" w:hAnsi="David"/>
          <w:rtl/>
        </w:rPr>
        <w:t xml:space="preserve"> – טעה בית משפט קמא כשהתעלם לחלוטין מהטענה כי </w:t>
      </w:r>
      <w:r w:rsidR="000F5BF7">
        <w:rPr>
          <w:rFonts w:ascii="David" w:hAnsi="David"/>
          <w:rtl/>
        </w:rPr>
        <w:t>ו'</w:t>
      </w:r>
      <w:r>
        <w:rPr>
          <w:rFonts w:ascii="David" w:hAnsi="David"/>
          <w:rtl/>
        </w:rPr>
        <w:t xml:space="preserve"> הודה בבטלותה של הצוואה שמחלוקת, ובכל מקרה וויתר עליה.</w:t>
      </w:r>
    </w:p>
    <w:p w:rsidR="00457B60" w:rsidRDefault="00457B60" w:rsidP="00457B60">
      <w:pPr>
        <w:spacing w:after="120" w:line="360" w:lineRule="auto"/>
        <w:ind w:left="720" w:hanging="720"/>
        <w:jc w:val="both"/>
        <w:rPr>
          <w:rFonts w:ascii="David" w:hAnsi="David"/>
          <w:rtl/>
        </w:rPr>
      </w:pPr>
      <w:r>
        <w:rPr>
          <w:rFonts w:ascii="David" w:hAnsi="David"/>
          <w:rtl/>
        </w:rPr>
        <w:tab/>
        <w:t xml:space="preserve">בחקירתו במשטרה העיד </w:t>
      </w:r>
      <w:r w:rsidR="000F5BF7">
        <w:rPr>
          <w:rFonts w:ascii="David" w:hAnsi="David"/>
          <w:rtl/>
        </w:rPr>
        <w:t>ו'</w:t>
      </w:r>
      <w:r>
        <w:rPr>
          <w:rFonts w:ascii="David" w:hAnsi="David"/>
          <w:rtl/>
        </w:rPr>
        <w:t xml:space="preserve"> כי עזבון המנוח חולק בינו לבין שני אחיו שווה בשווה. כשנשאל על ידי החוקר כיצד זה יתכן, אם ברשותו הצוואה שבמחלוקת הנותנת לו את כל עזבון המנוח; המנוח השיב כי ויתר על הצוואה ומסכים לחלוקת עזבון המנוח בהתאם להסכם החלוקה. היינו "שווה בשווה". </w:t>
      </w:r>
    </w:p>
    <w:p w:rsidR="00457B60" w:rsidRDefault="00457B60" w:rsidP="00457B60">
      <w:pPr>
        <w:tabs>
          <w:tab w:val="left" w:pos="720"/>
          <w:tab w:val="left" w:pos="1440"/>
          <w:tab w:val="left" w:pos="2160"/>
          <w:tab w:val="left" w:pos="2880"/>
          <w:tab w:val="left" w:pos="3600"/>
          <w:tab w:val="left" w:pos="4320"/>
          <w:tab w:val="left" w:pos="5040"/>
          <w:tab w:val="left" w:pos="5843"/>
        </w:tabs>
        <w:spacing w:after="120" w:line="360" w:lineRule="auto"/>
        <w:ind w:left="720" w:hanging="720"/>
        <w:jc w:val="both"/>
        <w:rPr>
          <w:rFonts w:ascii="David" w:hAnsi="David"/>
          <w:rtl/>
        </w:rPr>
      </w:pPr>
      <w:r>
        <w:rPr>
          <w:rFonts w:ascii="David" w:hAnsi="David"/>
          <w:rtl/>
        </w:rPr>
        <w:tab/>
        <w:t xml:space="preserve">הודאה זאת היא שהיתה צריכה לקבוע במקרה דנן. </w:t>
      </w:r>
    </w:p>
    <w:p w:rsidR="00457B60" w:rsidRDefault="00457B60" w:rsidP="00457B60">
      <w:pPr>
        <w:tabs>
          <w:tab w:val="left" w:pos="720"/>
          <w:tab w:val="left" w:pos="1440"/>
          <w:tab w:val="left" w:pos="2160"/>
          <w:tab w:val="left" w:pos="2880"/>
          <w:tab w:val="left" w:pos="3600"/>
          <w:tab w:val="left" w:pos="4320"/>
          <w:tab w:val="left" w:pos="5040"/>
        </w:tabs>
        <w:spacing w:after="120" w:line="360" w:lineRule="auto"/>
        <w:ind w:left="720" w:hanging="720"/>
        <w:jc w:val="both"/>
        <w:rPr>
          <w:rFonts w:ascii="David" w:hAnsi="David"/>
          <w:rtl/>
        </w:rPr>
      </w:pPr>
      <w:r>
        <w:rPr>
          <w:rFonts w:ascii="David" w:hAnsi="David"/>
          <w:rtl/>
        </w:rPr>
        <w:tab/>
        <w:t xml:space="preserve">כשנקרא </w:t>
      </w:r>
      <w:r w:rsidR="000F5BF7">
        <w:rPr>
          <w:rFonts w:ascii="David" w:hAnsi="David"/>
          <w:rtl/>
        </w:rPr>
        <w:t>ו'</w:t>
      </w:r>
      <w:r>
        <w:rPr>
          <w:rFonts w:ascii="David" w:hAnsi="David"/>
          <w:rtl/>
        </w:rPr>
        <w:t xml:space="preserve"> לחקירה נגדית בשנית על הודעתו במשטרה בהתאם להחלטה מיום 25.6.2019, ציין כי אינו יכול להעיד עקב מצבו הבריאותי-הקוגניטיבי. ברם לא הגיש חוות דעת מומחה, למרות החלטת בית משפט בנדון מיום 14.12.2020, ובפועל לא הוכיח את אי כשירותו להעיד. לכן היה על בית משפט קמא לקבוע, כי עדותו של </w:t>
      </w:r>
      <w:r w:rsidR="000F5BF7">
        <w:rPr>
          <w:rFonts w:ascii="David" w:hAnsi="David"/>
          <w:rtl/>
        </w:rPr>
        <w:t>ו'</w:t>
      </w:r>
      <w:r>
        <w:rPr>
          <w:rFonts w:ascii="David" w:hAnsi="David"/>
          <w:rtl/>
        </w:rPr>
        <w:t xml:space="preserve"> במשטרה מתקבלת כראיה וכובלת אותו לדבריו שם.</w:t>
      </w:r>
      <w:r>
        <w:rPr>
          <w:rFonts w:ascii="David" w:hAnsi="David"/>
          <w:rtl/>
        </w:rPr>
        <w:tab/>
      </w:r>
    </w:p>
    <w:p w:rsidR="00457B60" w:rsidRDefault="00457B60" w:rsidP="00457B60">
      <w:pPr>
        <w:spacing w:after="120" w:line="360" w:lineRule="auto"/>
        <w:ind w:left="720" w:hanging="720"/>
        <w:jc w:val="both"/>
        <w:rPr>
          <w:rFonts w:ascii="David" w:hAnsi="David"/>
          <w:rtl/>
        </w:rPr>
      </w:pPr>
      <w:r>
        <w:rPr>
          <w:rFonts w:ascii="David" w:hAnsi="David"/>
          <w:rtl/>
        </w:rPr>
        <w:t xml:space="preserve"> </w:t>
      </w:r>
      <w:r>
        <w:rPr>
          <w:rFonts w:ascii="David" w:hAnsi="David"/>
          <w:rtl/>
        </w:rPr>
        <w:tab/>
        <w:t xml:space="preserve">יותר מזה – עצם חתימתו של </w:t>
      </w:r>
      <w:r w:rsidR="000F5BF7">
        <w:rPr>
          <w:rFonts w:ascii="David" w:hAnsi="David"/>
          <w:rtl/>
        </w:rPr>
        <w:t>ו'</w:t>
      </w:r>
      <w:r>
        <w:rPr>
          <w:rFonts w:ascii="David" w:hAnsi="David"/>
          <w:rtl/>
        </w:rPr>
        <w:t xml:space="preserve"> על הסכם החלוקה, מלמדת כי ידע שהצוואה שבמחלוקת אינה אמיתית, או פגומה וחסרת תוקף.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בכל מקרה דבריו אלה של </w:t>
      </w:r>
      <w:r w:rsidR="000F5BF7">
        <w:rPr>
          <w:rFonts w:ascii="David" w:hAnsi="David"/>
          <w:rtl/>
        </w:rPr>
        <w:t>ו'</w:t>
      </w:r>
      <w:r>
        <w:rPr>
          <w:rFonts w:ascii="David" w:hAnsi="David"/>
          <w:rtl/>
        </w:rPr>
        <w:t xml:space="preserve"> בחקירתו במשטרה מלמדים על ויתורו על הצוואה שבמחלוקת; בכל מקרה יש ליתן לדבריו אלה של </w:t>
      </w:r>
      <w:r w:rsidR="000F5BF7">
        <w:rPr>
          <w:rFonts w:ascii="David" w:hAnsi="David"/>
          <w:rtl/>
        </w:rPr>
        <w:t>ו'</w:t>
      </w:r>
      <w:r>
        <w:rPr>
          <w:rFonts w:ascii="David" w:hAnsi="David"/>
          <w:rtl/>
        </w:rPr>
        <w:t xml:space="preserve"> משקל משמעותי לענין בחינת אמיתות הצוואה, לרבות אי הגיונה. </w:t>
      </w:r>
    </w:p>
    <w:p w:rsidR="00457B60" w:rsidRDefault="00457B60" w:rsidP="00457B60">
      <w:pPr>
        <w:spacing w:after="120" w:line="360" w:lineRule="auto"/>
        <w:ind w:left="720" w:hanging="720"/>
        <w:jc w:val="both"/>
        <w:rPr>
          <w:rFonts w:ascii="David" w:hAnsi="David"/>
          <w:rtl/>
        </w:rPr>
      </w:pPr>
      <w:r>
        <w:rPr>
          <w:rFonts w:ascii="David" w:hAnsi="David"/>
          <w:rtl/>
        </w:rPr>
        <w:tab/>
        <w:t xml:space="preserve">מכל הטענות הנ"ל התעלם בית משפט קמא בפסק דינו, ובכך טעה. </w:t>
      </w:r>
    </w:p>
    <w:p w:rsidR="00457B60" w:rsidRDefault="00457B60" w:rsidP="00457B60">
      <w:pPr>
        <w:spacing w:after="120" w:line="360" w:lineRule="auto"/>
        <w:ind w:left="720" w:hanging="720"/>
        <w:jc w:val="both"/>
        <w:rPr>
          <w:rFonts w:ascii="David" w:hAnsi="David"/>
          <w:rtl/>
        </w:rPr>
      </w:pPr>
      <w:r>
        <w:rPr>
          <w:rFonts w:ascii="David" w:hAnsi="David"/>
          <w:rtl/>
        </w:rPr>
        <w:t>38.</w:t>
      </w:r>
      <w:r>
        <w:rPr>
          <w:rFonts w:ascii="David" w:hAnsi="David"/>
          <w:rtl/>
        </w:rPr>
        <w:tab/>
      </w:r>
      <w:r>
        <w:rPr>
          <w:rFonts w:ascii="David" w:hAnsi="David"/>
          <w:b/>
          <w:bCs/>
          <w:u w:val="single"/>
          <w:rtl/>
        </w:rPr>
        <w:t xml:space="preserve">טעה בית משפט קמא כשלא ביטל את הצוואה עקב שיהוי מצידו של </w:t>
      </w:r>
      <w:r w:rsidR="000F5BF7">
        <w:rPr>
          <w:rFonts w:ascii="David" w:hAnsi="David"/>
          <w:b/>
          <w:bCs/>
          <w:u w:val="single"/>
          <w:rtl/>
        </w:rPr>
        <w:t>ו'</w:t>
      </w:r>
      <w:r>
        <w:rPr>
          <w:rFonts w:ascii="David" w:hAnsi="David"/>
          <w:b/>
          <w:bCs/>
          <w:u w:val="single"/>
          <w:rtl/>
        </w:rPr>
        <w:t xml:space="preserve"> במשך עשרות שנים בהגשת הבקשה לצו קיום הצוואה</w:t>
      </w:r>
      <w:r>
        <w:rPr>
          <w:rFonts w:ascii="David" w:hAnsi="David"/>
          <w:rtl/>
        </w:rPr>
        <w:t xml:space="preserve"> – הגם שהטענה הועלתה בבית משפט קמא, בית משפט התייחס אליה באופן מינורי בפסק הדין.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בית משפט קמא נימק את דחיית הטענה בכך, שכל עוד צו הירושה עמד בתוקפו, לא נדרש </w:t>
      </w:r>
      <w:r w:rsidR="000F5BF7">
        <w:rPr>
          <w:rFonts w:ascii="David" w:hAnsi="David"/>
          <w:rtl/>
        </w:rPr>
        <w:t>ו'</w:t>
      </w:r>
      <w:r>
        <w:rPr>
          <w:rFonts w:ascii="David" w:hAnsi="David"/>
          <w:rtl/>
        </w:rPr>
        <w:t xml:space="preserve"> להגיש בקשה לקיום הצוואה שבמחלוקת. </w:t>
      </w:r>
    </w:p>
    <w:p w:rsidR="00457B60" w:rsidRDefault="00457B60" w:rsidP="00457B60">
      <w:pPr>
        <w:spacing w:after="120" w:line="360" w:lineRule="auto"/>
        <w:ind w:left="720" w:hanging="720"/>
        <w:jc w:val="both"/>
        <w:rPr>
          <w:rFonts w:ascii="David" w:hAnsi="David"/>
          <w:rtl/>
        </w:rPr>
      </w:pPr>
      <w:r>
        <w:rPr>
          <w:rFonts w:ascii="David" w:hAnsi="David"/>
          <w:rtl/>
        </w:rPr>
        <w:tab/>
        <w:t>קביעה זאת של בית משפט קמא שגויה.</w:t>
      </w:r>
    </w:p>
    <w:p w:rsidR="00457B60" w:rsidRDefault="00457B60" w:rsidP="00457B60">
      <w:pPr>
        <w:spacing w:after="120" w:line="360" w:lineRule="auto"/>
        <w:ind w:left="720" w:hanging="720"/>
        <w:jc w:val="both"/>
        <w:rPr>
          <w:rFonts w:ascii="David" w:hAnsi="David"/>
          <w:rtl/>
        </w:rPr>
      </w:pPr>
      <w:r>
        <w:rPr>
          <w:rFonts w:ascii="David" w:hAnsi="David"/>
          <w:rtl/>
        </w:rPr>
        <w:tab/>
        <w:t xml:space="preserve">במהלך ניהול ההליך קמא העלה </w:t>
      </w:r>
      <w:r w:rsidR="000F5BF7">
        <w:rPr>
          <w:rFonts w:ascii="David" w:hAnsi="David"/>
          <w:rtl/>
        </w:rPr>
        <w:t>ו'</w:t>
      </w:r>
      <w:r>
        <w:rPr>
          <w:rFonts w:ascii="David" w:hAnsi="David"/>
          <w:rtl/>
        </w:rPr>
        <w:t xml:space="preserve"> מספר גרסאות באשר לאופן גילוי הצוואה שבמחלוקת.</w:t>
      </w:r>
    </w:p>
    <w:p w:rsidR="00457B60" w:rsidRDefault="00457B60" w:rsidP="00457B60">
      <w:pPr>
        <w:spacing w:after="120" w:line="360" w:lineRule="auto"/>
        <w:ind w:left="720" w:hanging="720"/>
        <w:jc w:val="both"/>
        <w:rPr>
          <w:rFonts w:ascii="David" w:hAnsi="David"/>
          <w:rtl/>
        </w:rPr>
      </w:pPr>
      <w:r>
        <w:rPr>
          <w:rFonts w:ascii="David" w:hAnsi="David"/>
          <w:rtl/>
        </w:rPr>
        <w:lastRenderedPageBreak/>
        <w:tab/>
        <w:t xml:space="preserve">בסופו של דבר מעדותו של </w:t>
      </w:r>
      <w:r w:rsidR="000F5BF7">
        <w:rPr>
          <w:rFonts w:ascii="David" w:hAnsi="David"/>
          <w:rtl/>
        </w:rPr>
        <w:t>ר'</w:t>
      </w:r>
      <w:r>
        <w:rPr>
          <w:rFonts w:ascii="David" w:hAnsi="David"/>
          <w:rtl/>
        </w:rPr>
        <w:t xml:space="preserve"> עולה, כי </w:t>
      </w:r>
      <w:r w:rsidR="000F5BF7">
        <w:rPr>
          <w:rFonts w:ascii="David" w:hAnsi="David"/>
          <w:rtl/>
        </w:rPr>
        <w:t>ו'</w:t>
      </w:r>
      <w:r>
        <w:rPr>
          <w:rFonts w:ascii="David" w:hAnsi="David"/>
          <w:rtl/>
        </w:rPr>
        <w:t xml:space="preserve"> ידע על הצוואה שבמחלוקת כבר ביום שנכתבה על ידי </w:t>
      </w:r>
      <w:r w:rsidR="000F5BF7">
        <w:rPr>
          <w:rFonts w:ascii="David" w:hAnsi="David"/>
          <w:rtl/>
        </w:rPr>
        <w:t>ר'</w:t>
      </w:r>
      <w:r>
        <w:rPr>
          <w:rFonts w:ascii="David" w:hAnsi="David"/>
          <w:rtl/>
        </w:rPr>
        <w:t xml:space="preserve">, אך הוא בחר להסתיר מידע זה במשך כשני עשורים, כשבדרך חתם על הסכם החלוקה. </w:t>
      </w:r>
    </w:p>
    <w:p w:rsidR="00457B60" w:rsidRDefault="00457B60" w:rsidP="00457B60">
      <w:pPr>
        <w:spacing w:after="120" w:line="360" w:lineRule="auto"/>
        <w:ind w:left="720" w:hanging="720"/>
        <w:jc w:val="both"/>
        <w:rPr>
          <w:rFonts w:ascii="David" w:hAnsi="David"/>
          <w:rtl/>
        </w:rPr>
      </w:pPr>
      <w:r>
        <w:rPr>
          <w:rFonts w:ascii="David" w:hAnsi="David"/>
          <w:rtl/>
        </w:rPr>
        <w:tab/>
        <w:t xml:space="preserve">בנסיבות אלה, יש לקבוע כי </w:t>
      </w:r>
      <w:r w:rsidR="000F5BF7">
        <w:rPr>
          <w:rFonts w:ascii="David" w:hAnsi="David"/>
          <w:rtl/>
        </w:rPr>
        <w:t>ו'</w:t>
      </w:r>
      <w:r>
        <w:rPr>
          <w:rFonts w:ascii="David" w:hAnsi="David"/>
          <w:rtl/>
        </w:rPr>
        <w:t xml:space="preserve"> השתהה בהגשת הבקשה לקיום הצוואה שבמחלוקת במשך כ-27 שנים, ובכך אף פעל בחוסר תום לב. עובדה זאת יש בכוחה למנוע מ</w:t>
      </w:r>
      <w:r w:rsidR="000F5BF7">
        <w:rPr>
          <w:rFonts w:ascii="David" w:hAnsi="David"/>
          <w:rtl/>
        </w:rPr>
        <w:t>ו'</w:t>
      </w:r>
      <w:r>
        <w:rPr>
          <w:rFonts w:ascii="David" w:hAnsi="David"/>
          <w:rtl/>
        </w:rPr>
        <w:t xml:space="preserve"> מלהגיש בקשה לצו קיום צוואה. </w:t>
      </w:r>
    </w:p>
    <w:p w:rsidR="00457B60" w:rsidRDefault="00457B60" w:rsidP="00A57BF2">
      <w:pPr>
        <w:spacing w:after="120" w:line="360" w:lineRule="auto"/>
        <w:ind w:left="720" w:hanging="720"/>
        <w:jc w:val="both"/>
        <w:rPr>
          <w:rFonts w:ascii="David" w:hAnsi="David"/>
          <w:rtl/>
        </w:rPr>
      </w:pPr>
      <w:r>
        <w:rPr>
          <w:rFonts w:ascii="David" w:hAnsi="David"/>
          <w:rtl/>
        </w:rPr>
        <w:tab/>
        <w:t>שיהוי זה גרם לנזק ראייתי ל</w:t>
      </w:r>
      <w:r w:rsidR="000F5BF7">
        <w:rPr>
          <w:rFonts w:ascii="David" w:hAnsi="David"/>
          <w:rtl/>
        </w:rPr>
        <w:t>ס'</w:t>
      </w:r>
      <w:r>
        <w:rPr>
          <w:rFonts w:ascii="David" w:hAnsi="David"/>
          <w:rtl/>
        </w:rPr>
        <w:t xml:space="preserve"> ו</w:t>
      </w:r>
      <w:r w:rsidR="000F5BF7">
        <w:rPr>
          <w:rFonts w:ascii="David" w:hAnsi="David"/>
          <w:rtl/>
        </w:rPr>
        <w:t>מ'</w:t>
      </w:r>
      <w:r>
        <w:rPr>
          <w:rFonts w:ascii="David" w:hAnsi="David"/>
          <w:rtl/>
        </w:rPr>
        <w:t>, שכן אחד מעדי הק</w:t>
      </w:r>
      <w:r w:rsidR="00A57BF2">
        <w:rPr>
          <w:rFonts w:ascii="David" w:hAnsi="David"/>
          <w:rtl/>
        </w:rPr>
        <w:t>יום (ו</w:t>
      </w:r>
      <w:r w:rsidR="00A57BF2">
        <w:rPr>
          <w:rFonts w:ascii="David" w:hAnsi="David" w:hint="cs"/>
          <w:rtl/>
        </w:rPr>
        <w:t>.</w:t>
      </w:r>
      <w:r w:rsidR="00A57BF2">
        <w:rPr>
          <w:rFonts w:ascii="David" w:hAnsi="David"/>
          <w:rtl/>
        </w:rPr>
        <w:t xml:space="preserve"> ע</w:t>
      </w:r>
      <w:r>
        <w:rPr>
          <w:rFonts w:ascii="David" w:hAnsi="David"/>
          <w:rtl/>
        </w:rPr>
        <w:t xml:space="preserve"> ז"ל) נפטר.</w:t>
      </w:r>
    </w:p>
    <w:p w:rsidR="00457B60" w:rsidRDefault="00457B60" w:rsidP="00457B60">
      <w:pPr>
        <w:spacing w:after="120" w:line="360" w:lineRule="auto"/>
        <w:ind w:left="720" w:hanging="720"/>
        <w:jc w:val="both"/>
        <w:rPr>
          <w:rFonts w:ascii="David" w:hAnsi="David"/>
          <w:rtl/>
        </w:rPr>
      </w:pPr>
      <w:r>
        <w:rPr>
          <w:rFonts w:ascii="David" w:hAnsi="David"/>
          <w:rtl/>
        </w:rPr>
        <w:t>39.</w:t>
      </w:r>
      <w:r>
        <w:rPr>
          <w:rFonts w:ascii="David" w:hAnsi="David"/>
          <w:rtl/>
        </w:rPr>
        <w:tab/>
      </w:r>
      <w:r w:rsidR="000F5BF7">
        <w:rPr>
          <w:rFonts w:ascii="David" w:hAnsi="David"/>
          <w:rtl/>
        </w:rPr>
        <w:t>מ'</w:t>
      </w:r>
      <w:r>
        <w:rPr>
          <w:rFonts w:ascii="David" w:hAnsi="David"/>
          <w:rtl/>
        </w:rPr>
        <w:t xml:space="preserve">, בכתב תשובה שהגיש, הסכים לקבלת ערעורם של יורשי </w:t>
      </w:r>
      <w:r w:rsidR="000F5BF7">
        <w:rPr>
          <w:rFonts w:ascii="David" w:hAnsi="David"/>
          <w:rtl/>
        </w:rPr>
        <w:t>ס'</w:t>
      </w:r>
      <w:r>
        <w:rPr>
          <w:rFonts w:ascii="David" w:hAnsi="David"/>
          <w:rtl/>
        </w:rPr>
        <w:t xml:space="preserve"> ז"ל, ואף הפנה בנדון לכתב הערעור שהגיש על פסק הדין. </w:t>
      </w:r>
    </w:p>
    <w:p w:rsidR="00457B60" w:rsidRDefault="00457B60" w:rsidP="00457B60">
      <w:pPr>
        <w:spacing w:after="120" w:line="360" w:lineRule="auto"/>
        <w:rPr>
          <w:rFonts w:ascii="David" w:hAnsi="David"/>
          <w:b/>
          <w:bCs/>
          <w:u w:val="single"/>
          <w:rtl/>
        </w:rPr>
      </w:pPr>
    </w:p>
    <w:p w:rsidR="00457B60" w:rsidRDefault="00457B60" w:rsidP="00457B60">
      <w:pPr>
        <w:spacing w:after="120" w:line="360" w:lineRule="auto"/>
        <w:rPr>
          <w:rFonts w:ascii="David" w:hAnsi="David"/>
          <w:b/>
          <w:bCs/>
          <w:u w:val="single"/>
          <w:rtl/>
        </w:rPr>
      </w:pPr>
      <w:r>
        <w:rPr>
          <w:rFonts w:ascii="David" w:hAnsi="David"/>
          <w:b/>
          <w:bCs/>
          <w:u w:val="single"/>
          <w:rtl/>
        </w:rPr>
        <w:t xml:space="preserve">תשובתו של </w:t>
      </w:r>
      <w:r w:rsidR="000F5BF7">
        <w:rPr>
          <w:rFonts w:ascii="David" w:hAnsi="David"/>
          <w:b/>
          <w:bCs/>
          <w:u w:val="single"/>
          <w:rtl/>
        </w:rPr>
        <w:t>ו'</w:t>
      </w:r>
      <w:r>
        <w:rPr>
          <w:rFonts w:ascii="David" w:hAnsi="David"/>
          <w:b/>
          <w:bCs/>
          <w:u w:val="single"/>
          <w:rtl/>
        </w:rPr>
        <w:t xml:space="preserve"> לערעורים שניתנה במאוחד</w:t>
      </w:r>
    </w:p>
    <w:p w:rsidR="00457B60" w:rsidRDefault="00457B60" w:rsidP="00457B60">
      <w:pPr>
        <w:spacing w:after="120" w:line="360" w:lineRule="auto"/>
        <w:rPr>
          <w:rFonts w:ascii="David" w:hAnsi="David"/>
          <w:rtl/>
        </w:rPr>
      </w:pPr>
      <w:r>
        <w:rPr>
          <w:rFonts w:ascii="David" w:hAnsi="David"/>
          <w:rtl/>
        </w:rPr>
        <w:t>40.</w:t>
      </w:r>
      <w:r>
        <w:rPr>
          <w:rFonts w:ascii="David" w:hAnsi="David"/>
          <w:rtl/>
        </w:rPr>
        <w:tab/>
        <w:t xml:space="preserve">תשובתו של </w:t>
      </w:r>
      <w:r w:rsidR="000F5BF7">
        <w:rPr>
          <w:rFonts w:ascii="David" w:hAnsi="David"/>
          <w:rtl/>
        </w:rPr>
        <w:t>ו'</w:t>
      </w:r>
      <w:r>
        <w:rPr>
          <w:rFonts w:ascii="David" w:hAnsi="David"/>
          <w:rtl/>
        </w:rPr>
        <w:t xml:space="preserve"> לשני הערעורים ניתנה במאוחד, ואפרטה להלן. </w:t>
      </w:r>
    </w:p>
    <w:p w:rsidR="00457B60" w:rsidRDefault="00457B60" w:rsidP="00457B60">
      <w:pPr>
        <w:spacing w:after="120" w:line="360" w:lineRule="auto"/>
        <w:rPr>
          <w:rFonts w:ascii="David" w:hAnsi="David"/>
          <w:rtl/>
        </w:rPr>
      </w:pPr>
      <w:r>
        <w:rPr>
          <w:rFonts w:ascii="David" w:hAnsi="David"/>
          <w:rtl/>
        </w:rPr>
        <w:t>41.</w:t>
      </w:r>
      <w:r>
        <w:rPr>
          <w:rFonts w:ascii="David" w:hAnsi="David"/>
          <w:rtl/>
        </w:rPr>
        <w:tab/>
      </w:r>
      <w:r>
        <w:rPr>
          <w:rFonts w:ascii="David" w:hAnsi="David"/>
          <w:b/>
          <w:bCs/>
          <w:u w:val="single"/>
          <w:rtl/>
        </w:rPr>
        <w:t>ויתור, השתק, מניעות, שיהוי וחוסר תום לב</w:t>
      </w:r>
      <w:r>
        <w:rPr>
          <w:rFonts w:ascii="David" w:hAnsi="David"/>
          <w:rtl/>
        </w:rPr>
        <w:t>:</w:t>
      </w:r>
    </w:p>
    <w:p w:rsidR="00457B60" w:rsidRDefault="00457B60" w:rsidP="00457B60">
      <w:pPr>
        <w:spacing w:after="120" w:line="360" w:lineRule="auto"/>
        <w:ind w:left="1440" w:hanging="828"/>
        <w:jc w:val="both"/>
        <w:rPr>
          <w:rFonts w:ascii="David" w:hAnsi="David"/>
          <w:rtl/>
        </w:rPr>
      </w:pPr>
      <w:r>
        <w:rPr>
          <w:rFonts w:ascii="David" w:hAnsi="David"/>
          <w:rtl/>
        </w:rPr>
        <w:t>א.</w:t>
      </w:r>
      <w:r>
        <w:rPr>
          <w:rFonts w:ascii="David" w:hAnsi="David"/>
          <w:rtl/>
        </w:rPr>
        <w:tab/>
        <w:t xml:space="preserve">טענת המערערים כי </w:t>
      </w:r>
      <w:r w:rsidR="000F5BF7">
        <w:rPr>
          <w:rFonts w:ascii="David" w:hAnsi="David"/>
          <w:rtl/>
        </w:rPr>
        <w:t>ו'</w:t>
      </w:r>
      <w:r>
        <w:rPr>
          <w:rFonts w:ascii="David" w:hAnsi="David"/>
          <w:rtl/>
        </w:rPr>
        <w:t xml:space="preserve"> לוקה בחוסר תום לב עת ניתן צו ירושה ע"י בית הכנסייתי והיה עליו לעמוד בו ולקיימו, הינה טענה לא נכונה. הסתרת דבר הצוואה השלישית וכן הסכם חלוקת העיזבון, נבע מהתנהגות כל הצדדים לרבות המערערים עצמם; צו הירושה בוטל ע"י בית הדין הכנסייתי עצמו, הערעור שהוגש ע"י המערערים לא התקבל, ואף תמוה כיצד המערערים טוענים כי הליך הערעור הנטען עודנו תלוי ועומד משנת 2009 עד היום; המערערים לא הגישו כל ראיה על כך שהליך הערעור לא נסתיים.</w:t>
      </w:r>
    </w:p>
    <w:p w:rsidR="00457B60" w:rsidRDefault="00457B60" w:rsidP="00457B60">
      <w:pPr>
        <w:spacing w:after="120" w:line="360" w:lineRule="auto"/>
        <w:ind w:left="1440" w:hanging="828"/>
        <w:jc w:val="both"/>
        <w:rPr>
          <w:rFonts w:ascii="David" w:hAnsi="David"/>
          <w:rtl/>
        </w:rPr>
      </w:pPr>
      <w:r>
        <w:rPr>
          <w:rFonts w:ascii="David" w:hAnsi="David"/>
          <w:rtl/>
        </w:rPr>
        <w:t>ב.</w:t>
      </w:r>
      <w:r>
        <w:rPr>
          <w:rFonts w:ascii="David" w:hAnsi="David"/>
          <w:rtl/>
        </w:rPr>
        <w:tab/>
        <w:t>המערערים מנסים בערעוריהם לפתוח חזית חדשה ולהעלות טענות חדשות שלא נדונו בפני בית המשפט קמא, לא היו חלק מעילת תביעתם וכל זאת בהסתמך על אמרת אגב של בית המשפט קמא ביחס להסכם החלוקה.</w:t>
      </w:r>
    </w:p>
    <w:p w:rsidR="00457B60" w:rsidRDefault="00457B60" w:rsidP="00457B60">
      <w:pPr>
        <w:spacing w:after="120" w:line="360" w:lineRule="auto"/>
        <w:ind w:left="1440" w:firstLine="2"/>
        <w:jc w:val="both"/>
        <w:rPr>
          <w:rFonts w:ascii="David" w:hAnsi="David"/>
          <w:rtl/>
        </w:rPr>
      </w:pPr>
      <w:r>
        <w:rPr>
          <w:rFonts w:ascii="David" w:hAnsi="David"/>
          <w:rtl/>
        </w:rPr>
        <w:t xml:space="preserve">הסכם חלוקת העיזבון מעולם לא נידון בפני בית המשפט קמא, אלא הוזכר ע"י המערערים בהתנגדותם, כעובדה לחיזוק טענותיהם בדבר ביטול הצוואה נשוא תיק זה. המערערים מעולם לא עתרו בפני בית המשפט קמא לאכיפתו ו/או לקיומו של הסכם חלוקת העיזבון. בית המשפט קמא לא נתבקש ע"י המערערים לדון בתוקפו של הסכם זה ולא נטען כי הסכם החלוקה יש בו לחייב את </w:t>
      </w:r>
      <w:r w:rsidR="000F5BF7">
        <w:rPr>
          <w:rFonts w:ascii="David" w:hAnsi="David"/>
          <w:rtl/>
        </w:rPr>
        <w:t>ו'</w:t>
      </w:r>
      <w:r>
        <w:rPr>
          <w:rFonts w:ascii="David" w:hAnsi="David"/>
          <w:rtl/>
        </w:rPr>
        <w:t>.</w:t>
      </w:r>
    </w:p>
    <w:p w:rsidR="00457B60" w:rsidRDefault="00457B60" w:rsidP="00457B60">
      <w:pPr>
        <w:spacing w:after="120" w:line="360" w:lineRule="auto"/>
        <w:ind w:left="1440" w:firstLine="2"/>
        <w:jc w:val="both"/>
        <w:rPr>
          <w:rFonts w:ascii="David" w:hAnsi="David"/>
          <w:rtl/>
        </w:rPr>
      </w:pPr>
      <w:r>
        <w:rPr>
          <w:rFonts w:ascii="David" w:hAnsi="David"/>
          <w:rtl/>
        </w:rPr>
        <w:t>המערערים עצמם ראו כי הסכם החלוקה, אכיפתו ותוקפו הינם בבחינת עילה נפרדת.</w:t>
      </w:r>
    </w:p>
    <w:p w:rsidR="00457B60" w:rsidRDefault="00457B60" w:rsidP="00457B60">
      <w:pPr>
        <w:spacing w:after="120" w:line="360" w:lineRule="auto"/>
        <w:ind w:left="1440" w:firstLine="2"/>
        <w:jc w:val="both"/>
        <w:rPr>
          <w:rFonts w:ascii="David" w:hAnsi="David"/>
          <w:rtl/>
        </w:rPr>
      </w:pPr>
      <w:r>
        <w:rPr>
          <w:rFonts w:ascii="David" w:hAnsi="David"/>
          <w:rtl/>
        </w:rPr>
        <w:t xml:space="preserve">כך </w:t>
      </w:r>
      <w:r w:rsidR="000F5BF7">
        <w:rPr>
          <w:rFonts w:ascii="David" w:hAnsi="David"/>
          <w:rtl/>
        </w:rPr>
        <w:t>ס'</w:t>
      </w:r>
      <w:r>
        <w:rPr>
          <w:rFonts w:ascii="David" w:hAnsi="David"/>
          <w:rtl/>
        </w:rPr>
        <w:t xml:space="preserve"> ז"ל, נקט בהליכים קודמים לאכיפתו בפני בית המשפט לענייני משפחה, אך </w:t>
      </w:r>
      <w:r w:rsidR="000F5BF7">
        <w:rPr>
          <w:rFonts w:ascii="David" w:hAnsi="David"/>
          <w:rtl/>
        </w:rPr>
        <w:t>מ'</w:t>
      </w:r>
      <w:r>
        <w:rPr>
          <w:rFonts w:ascii="David" w:hAnsi="David"/>
          <w:rtl/>
        </w:rPr>
        <w:t xml:space="preserve"> לא נקט באף הליך לאכיפתו של הסכם החלוקה. תביעתו של </w:t>
      </w:r>
      <w:r w:rsidR="000F5BF7">
        <w:rPr>
          <w:rFonts w:ascii="David" w:hAnsi="David"/>
          <w:rtl/>
        </w:rPr>
        <w:t>ס'</w:t>
      </w:r>
      <w:r>
        <w:rPr>
          <w:rFonts w:ascii="David" w:hAnsi="David"/>
          <w:rtl/>
        </w:rPr>
        <w:t xml:space="preserve"> בעניין הסכם זה נזנחה על ידו, ומאז מחיקת </w:t>
      </w:r>
      <w:r>
        <w:rPr>
          <w:rFonts w:ascii="David" w:hAnsi="David"/>
          <w:rtl/>
        </w:rPr>
        <w:lastRenderedPageBreak/>
        <w:t xml:space="preserve">תביעתו ועד ליום זה לא ראה לנכון לנקוט בכל הליך משפטי בנוגע לתוקפו ואכיפתו, וכך הדבר אף כלפי </w:t>
      </w:r>
      <w:r w:rsidR="000F5BF7">
        <w:rPr>
          <w:rFonts w:ascii="David" w:hAnsi="David"/>
          <w:rtl/>
        </w:rPr>
        <w:t>מ'</w:t>
      </w:r>
      <w:r>
        <w:rPr>
          <w:rFonts w:ascii="David" w:hAnsi="David"/>
          <w:rtl/>
        </w:rPr>
        <w:t xml:space="preserve">. </w:t>
      </w:r>
    </w:p>
    <w:p w:rsidR="00457B60" w:rsidRDefault="00457B60" w:rsidP="00457B60">
      <w:pPr>
        <w:spacing w:after="120" w:line="360" w:lineRule="auto"/>
        <w:ind w:left="1440" w:firstLine="2"/>
        <w:jc w:val="both"/>
        <w:rPr>
          <w:rFonts w:ascii="David" w:hAnsi="David"/>
          <w:rtl/>
        </w:rPr>
      </w:pPr>
      <w:r>
        <w:rPr>
          <w:rFonts w:ascii="David" w:hAnsi="David"/>
          <w:rtl/>
        </w:rPr>
        <w:t>במצב דברים זה בית המשפט קמא קבע בצדק, כי הוא לא נתבקש לדון בתוקפו של הסכם זה ובוודאי שאין כל סמכות לבית המשפט לערעורים לדון בתוקפו של הסכם החלוקה כאשר הוא כלל לא נידון בפני בית המשפט קמא.</w:t>
      </w:r>
    </w:p>
    <w:p w:rsidR="00457B60" w:rsidRDefault="00457B60" w:rsidP="00457B60">
      <w:pPr>
        <w:spacing w:after="120" w:line="360" w:lineRule="auto"/>
        <w:ind w:left="1440" w:hanging="828"/>
        <w:jc w:val="both"/>
        <w:rPr>
          <w:rFonts w:ascii="David" w:hAnsi="David"/>
          <w:rtl/>
        </w:rPr>
      </w:pPr>
      <w:r>
        <w:rPr>
          <w:rFonts w:ascii="David" w:hAnsi="David"/>
          <w:rtl/>
        </w:rPr>
        <w:t>ג.</w:t>
      </w:r>
      <w:r>
        <w:rPr>
          <w:rFonts w:ascii="David" w:hAnsi="David"/>
          <w:rtl/>
        </w:rPr>
        <w:tab/>
        <w:t xml:space="preserve">שגו המערערים עת טענו, כי ניתן צו ירושה בבית הדין הכנסייתי בעקבות הסכם חלוקת העיזבון. בפסק הדין בבית הדין הכנסייתי נקבע כי הצדדים הטעו את בית הדין הכנסייתי בעת בקשתם למתן צו ירושה, כשהעלימו את דבר הסכם חלוקת העיזבון, והעלימו אף את קיום שלוש הצוואות של המנוח. רק כאשר </w:t>
      </w:r>
      <w:r w:rsidR="000F5BF7">
        <w:rPr>
          <w:rFonts w:ascii="David" w:hAnsi="David"/>
          <w:rtl/>
        </w:rPr>
        <w:t>ו'</w:t>
      </w:r>
      <w:r>
        <w:rPr>
          <w:rFonts w:ascii="David" w:hAnsi="David"/>
          <w:rtl/>
        </w:rPr>
        <w:t xml:space="preserve"> עתר לביטול פסק הדין (צו הירושה) והביא את דבר הצוואות לידיעת בית הדין, בוטל צו הירושה שניתן על ידו. </w:t>
      </w:r>
    </w:p>
    <w:p w:rsidR="00457B60" w:rsidRDefault="00457B60" w:rsidP="00457B60">
      <w:pPr>
        <w:spacing w:after="120" w:line="360" w:lineRule="auto"/>
        <w:ind w:left="1440" w:firstLine="2"/>
        <w:jc w:val="both"/>
        <w:rPr>
          <w:rFonts w:ascii="David" w:hAnsi="David"/>
          <w:rtl/>
        </w:rPr>
      </w:pPr>
      <w:r>
        <w:rPr>
          <w:rFonts w:ascii="David" w:hAnsi="David"/>
          <w:rtl/>
        </w:rPr>
        <w:t xml:space="preserve">טענתם של המערערים כי צו הירושה הינו "אקט מנהלי" המאפשר ביצוע ההסכם אינה נכונה. בכתב הגנתו לתביעה שהוגשה על ידי </w:t>
      </w:r>
      <w:r w:rsidR="000F5BF7">
        <w:rPr>
          <w:rFonts w:ascii="David" w:hAnsi="David"/>
          <w:rtl/>
        </w:rPr>
        <w:t>ס'</w:t>
      </w:r>
      <w:r>
        <w:rPr>
          <w:rFonts w:ascii="David" w:hAnsi="David"/>
          <w:rtl/>
        </w:rPr>
        <w:t xml:space="preserve"> לאכיפת הסכם החלוקה, העלה </w:t>
      </w:r>
      <w:r w:rsidR="000F5BF7">
        <w:rPr>
          <w:rFonts w:ascii="David" w:hAnsi="David"/>
          <w:rtl/>
        </w:rPr>
        <w:t>ו'</w:t>
      </w:r>
      <w:r>
        <w:rPr>
          <w:rFonts w:ascii="David" w:hAnsi="David"/>
          <w:rtl/>
        </w:rPr>
        <w:t xml:space="preserve"> טענות רבות ומרובות שהיו אמורות להיות מוכרעות ע"י בית משפט קמא. ברם לאור העובדה ש</w:t>
      </w:r>
      <w:r w:rsidR="000F5BF7">
        <w:rPr>
          <w:rFonts w:ascii="David" w:hAnsi="David"/>
          <w:rtl/>
        </w:rPr>
        <w:t>ס'</w:t>
      </w:r>
      <w:r>
        <w:rPr>
          <w:rFonts w:ascii="David" w:hAnsi="David"/>
          <w:rtl/>
        </w:rPr>
        <w:t xml:space="preserve"> זנח תביעתו, שאף נמחקה לפני שנים רבות, לא יכולים היום ובמסגרת הליך הערעור "להחיות" טענות בעניין הסכם החלוקה מבלי שעניין זה נידון לגופו. המערערים, שבהליך הערעור מנסים להיאחז באותו הסכם חלוקה, מעולם לא בקשו מבית המשפט קמא לדון בתוקפו של ההסכם.</w:t>
      </w:r>
    </w:p>
    <w:p w:rsidR="00457B60" w:rsidRDefault="00457B60" w:rsidP="00457B60">
      <w:pPr>
        <w:spacing w:after="120" w:line="360" w:lineRule="auto"/>
        <w:ind w:left="1439" w:hanging="830"/>
        <w:jc w:val="both"/>
        <w:rPr>
          <w:rFonts w:ascii="David" w:hAnsi="David"/>
          <w:rtl/>
        </w:rPr>
      </w:pPr>
      <w:r>
        <w:rPr>
          <w:rFonts w:ascii="David" w:hAnsi="David"/>
          <w:rtl/>
        </w:rPr>
        <w:t>ד.</w:t>
      </w:r>
      <w:r>
        <w:rPr>
          <w:rFonts w:ascii="David" w:hAnsi="David"/>
          <w:rtl/>
        </w:rPr>
        <w:tab/>
        <w:t>הסכם החלוקה הינו הסכם מותנה בתנאי מתלה. בהסכם נקבע מפורשות כי לצורך אכיפת ההסכם ומימושו, יש לרשום מספר חלקות שנרכשו ע"י המנוח מצדדים שלישיים. פעולות הרישום לא בוצעו, הצדדים לאותו הסכם מעולם לא פעלו לקיום התנאי המתלה ולמעשה עד ליום זה לא נקטו המערערים בכל פעולה לרישום הזכויות באותן חלקות.</w:t>
      </w:r>
    </w:p>
    <w:p w:rsidR="00457B60" w:rsidRDefault="00457B60" w:rsidP="00457B60">
      <w:pPr>
        <w:spacing w:after="120" w:line="360" w:lineRule="auto"/>
        <w:ind w:left="1439" w:hanging="830"/>
        <w:jc w:val="both"/>
        <w:rPr>
          <w:rFonts w:ascii="David" w:hAnsi="David"/>
          <w:rtl/>
        </w:rPr>
      </w:pPr>
      <w:r>
        <w:rPr>
          <w:rFonts w:ascii="David" w:hAnsi="David"/>
          <w:rtl/>
        </w:rPr>
        <w:t>ה.</w:t>
      </w:r>
      <w:r>
        <w:rPr>
          <w:rFonts w:ascii="David" w:hAnsi="David"/>
          <w:rtl/>
        </w:rPr>
        <w:tab/>
        <w:t>הצדדים לא עשו מאומה ליישום צו הירושה, לא פעלו לקיום הסכם החלוקה, ואף לא פעלו לרישום הסכם החלוקה בלשכת רישום המקרקעין. חשוב מכל, שלושת האחים לא פעלו בכדי לקיים את התנאי המתלה שנקבע בסעיף הראשון להסכם החלוקה, לפיו סוכם בין שלושת האחים כי תנאי לקיומו של הסכם חלוקת העזבון, הינו בביצוע רישום חוקי של חלקות</w:t>
      </w:r>
      <w:r w:rsidR="00A57BF2">
        <w:rPr>
          <w:rFonts w:ascii="David" w:hAnsi="David"/>
          <w:rtl/>
        </w:rPr>
        <w:t xml:space="preserve"> האדמה שקיבל המנוח ממר ו</w:t>
      </w:r>
      <w:r w:rsidR="00A57BF2">
        <w:rPr>
          <w:rFonts w:ascii="David" w:hAnsi="David" w:hint="cs"/>
          <w:rtl/>
        </w:rPr>
        <w:t>.</w:t>
      </w:r>
      <w:r w:rsidR="00A57BF2">
        <w:rPr>
          <w:rFonts w:ascii="David" w:hAnsi="David"/>
          <w:rtl/>
        </w:rPr>
        <w:t xml:space="preserve"> ע</w:t>
      </w:r>
      <w:r>
        <w:rPr>
          <w:rFonts w:ascii="David" w:hAnsi="David"/>
          <w:rtl/>
        </w:rPr>
        <w:t xml:space="preserve"> לפי הסכם מיום 13/8/1958, וכן ביצוע רישום חלקות קרקע בהתאם </w:t>
      </w:r>
      <w:r w:rsidR="00A57BF2">
        <w:rPr>
          <w:rFonts w:ascii="David" w:hAnsi="David"/>
          <w:rtl/>
        </w:rPr>
        <w:t>להסכם שנחתם בין המנוח לבין המנוחה ח</w:t>
      </w:r>
      <w:r w:rsidR="00A57BF2">
        <w:rPr>
          <w:rFonts w:ascii="David" w:hAnsi="David" w:hint="cs"/>
          <w:rtl/>
        </w:rPr>
        <w:t>.</w:t>
      </w:r>
      <w:r w:rsidR="00A57BF2">
        <w:rPr>
          <w:rFonts w:ascii="David" w:hAnsi="David"/>
          <w:rtl/>
        </w:rPr>
        <w:t xml:space="preserve"> </w:t>
      </w:r>
      <w:r w:rsidR="00A57BF2">
        <w:rPr>
          <w:rFonts w:ascii="David" w:hAnsi="David" w:hint="cs"/>
          <w:rtl/>
        </w:rPr>
        <w:t>ג. ס</w:t>
      </w:r>
      <w:r>
        <w:rPr>
          <w:rFonts w:ascii="David" w:hAnsi="David"/>
          <w:rtl/>
        </w:rPr>
        <w:t xml:space="preserve"> מיום 11/10/1951.</w:t>
      </w:r>
    </w:p>
    <w:p w:rsidR="00457B60" w:rsidRDefault="00457B60" w:rsidP="00457B60">
      <w:pPr>
        <w:spacing w:after="120" w:line="360" w:lineRule="auto"/>
        <w:ind w:left="1439" w:firstLine="3"/>
        <w:jc w:val="both"/>
        <w:rPr>
          <w:rFonts w:ascii="David" w:hAnsi="David"/>
          <w:rtl/>
        </w:rPr>
      </w:pPr>
      <w:r>
        <w:rPr>
          <w:rFonts w:ascii="David" w:hAnsi="David"/>
          <w:rtl/>
        </w:rPr>
        <w:t>שני הדברים לעיל לא בוצעו ולא נרשמו בלשכת רשם המקרקעין, ואף אחד משלושת האחים ובפרט המערערים, לא פעל לקיום התנאי המתלה. כך שאין כיום כל תוקף לאותו הסכם חלוקה הנטען ע"י המערערים.</w:t>
      </w:r>
    </w:p>
    <w:p w:rsidR="00457B60" w:rsidRDefault="00457B60" w:rsidP="00457B60">
      <w:pPr>
        <w:spacing w:after="120" w:line="360" w:lineRule="auto"/>
        <w:ind w:left="1439" w:hanging="827"/>
        <w:jc w:val="both"/>
        <w:rPr>
          <w:rFonts w:ascii="David" w:hAnsi="David"/>
          <w:rtl/>
        </w:rPr>
      </w:pPr>
      <w:r>
        <w:rPr>
          <w:rFonts w:ascii="David" w:hAnsi="David"/>
          <w:rtl/>
        </w:rPr>
        <w:t>ו.</w:t>
      </w:r>
      <w:r>
        <w:rPr>
          <w:rFonts w:ascii="David" w:hAnsi="David"/>
          <w:rtl/>
        </w:rPr>
        <w:tab/>
        <w:t xml:space="preserve">טענת </w:t>
      </w:r>
      <w:r w:rsidR="000F5BF7">
        <w:rPr>
          <w:rFonts w:ascii="David" w:hAnsi="David"/>
          <w:rtl/>
        </w:rPr>
        <w:t>מ'</w:t>
      </w:r>
      <w:r>
        <w:rPr>
          <w:rFonts w:ascii="David" w:hAnsi="David"/>
          <w:rtl/>
        </w:rPr>
        <w:t xml:space="preserve"> בערעורו, כי היה על בית המשפט קמא לדון בתוקפו של הסכם החלוקה, היא טענה תמוהה. </w:t>
      </w:r>
      <w:r w:rsidR="000F5BF7">
        <w:rPr>
          <w:rFonts w:ascii="David" w:hAnsi="David"/>
          <w:rtl/>
        </w:rPr>
        <w:t>מ'</w:t>
      </w:r>
      <w:r>
        <w:rPr>
          <w:rFonts w:ascii="David" w:hAnsi="David"/>
          <w:rtl/>
        </w:rPr>
        <w:t xml:space="preserve"> בעצמו בכתב הגנתו בתביעה שהוגשה ע"י </w:t>
      </w:r>
      <w:r w:rsidR="000F5BF7">
        <w:rPr>
          <w:rFonts w:ascii="David" w:hAnsi="David"/>
          <w:rtl/>
        </w:rPr>
        <w:t>ס'</w:t>
      </w:r>
      <w:r>
        <w:rPr>
          <w:rFonts w:ascii="David" w:hAnsi="David"/>
          <w:rtl/>
        </w:rPr>
        <w:t xml:space="preserve"> לפירוק השותפות ו/או אכיפת הסכם החלוקה, טען </w:t>
      </w:r>
      <w:r>
        <w:rPr>
          <w:rFonts w:ascii="David" w:hAnsi="David"/>
          <w:rtl/>
        </w:rPr>
        <w:lastRenderedPageBreak/>
        <w:t>כנגד תוקפו של אותו הסכם, עתר לבטלותו והיום הוא טוען בערעורו טענה הפוכה שלפיה הוא מבקש לאכוף אותו הסכם. מעיון בראיות ובמסמכים אשר הוגשו בפני בית המשפט קמא ע"י המערערים, עולה כי הם מעולם לא עתרו לאכיפת אותו הסכם חלוקה ומעולם לא התכוונו שסוגיה זו תידון בפני בית המשפט קמא.</w:t>
      </w:r>
    </w:p>
    <w:p w:rsidR="00457B60" w:rsidRDefault="00457B60" w:rsidP="00457B60">
      <w:pPr>
        <w:spacing w:after="120" w:line="360" w:lineRule="auto"/>
        <w:ind w:left="1439" w:firstLine="3"/>
        <w:jc w:val="both"/>
        <w:rPr>
          <w:rFonts w:ascii="David" w:hAnsi="David"/>
          <w:rtl/>
        </w:rPr>
      </w:pPr>
      <w:r>
        <w:rPr>
          <w:rFonts w:ascii="David" w:hAnsi="David"/>
          <w:rtl/>
        </w:rPr>
        <w:t xml:space="preserve">די בעובדה ששני המערערים מעולם לא הגישו בבית המשפט קמא תרגום להסכם החלוקה שנערך בשפה הערבית, כדי ללמד שבית משפט קמא לא עיין באותו הסכם ואף לא ידע מה תוכנו. בפסק דינו התייחס בית משפט קמא לאותו הסכם, רק בהסתמך על טענות הצדדים מבלי שהיו לו כלים לבחון מה כתוב באותו הסכם, מה תנאיו והאם בכלל ניתן לאכוף אותו הסכם. מבוקש במסגרת ערעור זה, למחוק כל טענה שהועלתה ע"י המערערים לגבי תוקפו של הסכם החלוקה, מאחר שמדובר בשינוי חזית מובהק. </w:t>
      </w:r>
    </w:p>
    <w:p w:rsidR="00457B60" w:rsidRDefault="00457B60" w:rsidP="00457B60">
      <w:pPr>
        <w:spacing w:after="120" w:line="360" w:lineRule="auto"/>
        <w:ind w:left="609" w:hanging="567"/>
        <w:jc w:val="both"/>
        <w:rPr>
          <w:rFonts w:ascii="David" w:hAnsi="David"/>
          <w:rtl/>
        </w:rPr>
      </w:pPr>
      <w:r>
        <w:rPr>
          <w:rFonts w:ascii="David" w:hAnsi="David"/>
          <w:rtl/>
        </w:rPr>
        <w:t>42.</w:t>
      </w:r>
      <w:r>
        <w:rPr>
          <w:rFonts w:ascii="David" w:hAnsi="David"/>
          <w:rtl/>
        </w:rPr>
        <w:tab/>
      </w:r>
      <w:r>
        <w:rPr>
          <w:rFonts w:ascii="David" w:hAnsi="David"/>
          <w:b/>
          <w:bCs/>
          <w:u w:val="single"/>
          <w:rtl/>
        </w:rPr>
        <w:t>עדותו של מתא (עד קיום בצוואה שבמחלוקת) ונסיבות עריכת הצוואה</w:t>
      </w:r>
      <w:r>
        <w:rPr>
          <w:rFonts w:ascii="David" w:hAnsi="David"/>
          <w:rtl/>
        </w:rPr>
        <w:t>:</w:t>
      </w:r>
    </w:p>
    <w:p w:rsidR="00457B60" w:rsidRDefault="00457B60" w:rsidP="00457B60">
      <w:pPr>
        <w:spacing w:after="120" w:line="360" w:lineRule="auto"/>
        <w:ind w:left="1440" w:hanging="828"/>
        <w:jc w:val="both"/>
        <w:rPr>
          <w:rFonts w:ascii="David" w:hAnsi="David"/>
          <w:rtl/>
        </w:rPr>
      </w:pPr>
      <w:r>
        <w:rPr>
          <w:rFonts w:ascii="David" w:hAnsi="David"/>
          <w:rtl/>
        </w:rPr>
        <w:t>א.</w:t>
      </w:r>
      <w:r>
        <w:rPr>
          <w:rFonts w:ascii="David" w:hAnsi="David"/>
          <w:rtl/>
        </w:rPr>
        <w:tab/>
        <w:t xml:space="preserve">פסק הדין התבסס על קביעות עובדתיות שנקבעו לאחר שמיעת עדים, הגשת ראיות, חוות דעת מז"פ, תיק חקירה משטרתית וכן התנהלות הליכים קודמים בין הצדדים, וכן מתוך התרשמותו של בית משפט קמא מהעדים אשר העידו בפניו. בית משפט קמא הגיע למסקנה הנכונה כי אין שום הצדקה לבטל את צו קיום הצוואה. </w:t>
      </w:r>
    </w:p>
    <w:p w:rsidR="00457B60" w:rsidRDefault="00457B60" w:rsidP="00457B60">
      <w:pPr>
        <w:spacing w:after="120" w:line="360" w:lineRule="auto"/>
        <w:ind w:left="1440" w:firstLine="2"/>
        <w:jc w:val="both"/>
        <w:rPr>
          <w:rFonts w:ascii="David" w:hAnsi="David"/>
          <w:rtl/>
        </w:rPr>
      </w:pPr>
      <w:r>
        <w:rPr>
          <w:rFonts w:ascii="David" w:hAnsi="David"/>
          <w:rtl/>
        </w:rPr>
        <w:t>כבר נקבע בפסיקה כי לא בנקל תתערב ערכאת ערעור בממצאים עובדתיים או קביעות מהימנות עדים וראיות של הערכאה המבררת. התערבות שכזו תיעשה במקרים חריגים ביותר, אשר אין התיק דנן נופל בגדרם. כמו כן, נקבע בפסיקה לא אחת כי ערכאת הערעור לא נועדה לשמש כלי לדיון בטענות העובדתיות אשר נידונו והוכרעו על ידי הערכאה המבררת. עיון בפסק הדין קמא מלמד כי לא נפלה בו כל טעות המצדיקה התערבות ערכאת הערעור.</w:t>
      </w:r>
    </w:p>
    <w:p w:rsidR="00457B60" w:rsidRDefault="00457B60" w:rsidP="00457B60">
      <w:pPr>
        <w:spacing w:after="120" w:line="360" w:lineRule="auto"/>
        <w:ind w:left="1440" w:hanging="831"/>
        <w:jc w:val="both"/>
        <w:rPr>
          <w:rFonts w:ascii="David" w:hAnsi="David"/>
          <w:rtl/>
        </w:rPr>
      </w:pPr>
      <w:r>
        <w:rPr>
          <w:rFonts w:ascii="David" w:hAnsi="David"/>
          <w:rtl/>
        </w:rPr>
        <w:t>ב.</w:t>
      </w:r>
      <w:r>
        <w:rPr>
          <w:rFonts w:ascii="David" w:hAnsi="David"/>
          <w:rtl/>
        </w:rPr>
        <w:tab/>
        <w:t xml:space="preserve">לעניין עדותו של מתא, אומנם בית משפט קמא לא ראה בעדותו של מתא בהליך קמא כעדות מהימנה לעניין נסיבות עריכת הצוואה, אולם בעדותו במשטרה הודה ופירט על חתימתו על הצוואות, ונקבע ע"י מז"פ כי אכן חתם על שתי צוואות כעד קיום (שתי הצוואות מיולי ואוגוסט 1981). לעדותו של מתא במשטרה ניתן משקל רב בבית משפט קמא. כמו כן עדותו של </w:t>
      </w:r>
      <w:r w:rsidR="000F5BF7">
        <w:rPr>
          <w:rFonts w:ascii="David" w:hAnsi="David"/>
          <w:rtl/>
        </w:rPr>
        <w:t>ר'</w:t>
      </w:r>
      <w:r>
        <w:rPr>
          <w:rFonts w:ascii="David" w:hAnsi="David"/>
          <w:rtl/>
        </w:rPr>
        <w:t xml:space="preserve"> נמצאה מהימנה ע"י בית משפט קמא, שכן עדותו במשטרה ועדותו בפני בית המשפט מתיישבות אחת עם השנייה.</w:t>
      </w:r>
    </w:p>
    <w:p w:rsidR="00457B60" w:rsidRDefault="00457B60" w:rsidP="00457B60">
      <w:pPr>
        <w:spacing w:after="120" w:line="360" w:lineRule="auto"/>
        <w:ind w:left="1440" w:hanging="828"/>
        <w:jc w:val="both"/>
        <w:rPr>
          <w:rFonts w:ascii="David" w:hAnsi="David"/>
          <w:rtl/>
        </w:rPr>
      </w:pPr>
      <w:r>
        <w:rPr>
          <w:rFonts w:ascii="David" w:hAnsi="David"/>
          <w:rtl/>
        </w:rPr>
        <w:t>ג.</w:t>
      </w:r>
      <w:r>
        <w:rPr>
          <w:rFonts w:ascii="David" w:hAnsi="David"/>
          <w:rtl/>
        </w:rPr>
        <w:tab/>
        <w:t xml:space="preserve">המערערים התעלמו כליל מעדותו של העד מתא במשטרה, ומהסתירות שעלו בין עדותו בפני בית משפט קמא לבין עדותו במשטרה. בית משפט קמא הסיק כי העד אינו מהימן ולכל הפחות אינו זוכר את השתלשלות האירועים בנוגע לנסיבות החתימה על הצוואות. לא זו אף זו, בית משפט קמא קבע כי עדויותיו בהליך קמא אינן מתיישבות עם עדותו של </w:t>
      </w:r>
      <w:r w:rsidR="000F5BF7">
        <w:rPr>
          <w:rFonts w:ascii="David" w:hAnsi="David"/>
          <w:rtl/>
        </w:rPr>
        <w:t>ר'</w:t>
      </w:r>
      <w:r>
        <w:rPr>
          <w:rFonts w:ascii="David" w:hAnsi="David"/>
          <w:rtl/>
        </w:rPr>
        <w:t>, שנתן לה משקל רב.</w:t>
      </w:r>
    </w:p>
    <w:p w:rsidR="00457B60" w:rsidRDefault="00457B60" w:rsidP="00457B60">
      <w:pPr>
        <w:spacing w:after="120" w:line="360" w:lineRule="auto"/>
        <w:ind w:left="1440" w:hanging="828"/>
        <w:jc w:val="both"/>
        <w:rPr>
          <w:rFonts w:ascii="David" w:hAnsi="David"/>
          <w:rtl/>
        </w:rPr>
      </w:pPr>
      <w:r>
        <w:rPr>
          <w:rFonts w:ascii="David" w:hAnsi="David"/>
          <w:rtl/>
        </w:rPr>
        <w:t>ד.</w:t>
      </w:r>
      <w:r>
        <w:rPr>
          <w:rFonts w:ascii="David" w:hAnsi="David"/>
          <w:rtl/>
        </w:rPr>
        <w:tab/>
      </w:r>
      <w:r w:rsidR="000F5BF7">
        <w:rPr>
          <w:rFonts w:ascii="David" w:hAnsi="David"/>
          <w:rtl/>
        </w:rPr>
        <w:t>מ'</w:t>
      </w:r>
      <w:r>
        <w:rPr>
          <w:rFonts w:ascii="David" w:hAnsi="David"/>
          <w:rtl/>
        </w:rPr>
        <w:t xml:space="preserve"> מנסה להטעות את בית המשפט, בכך שטען כי בית משפט קמא "ערבב" לכאורה בין עדותו של מתא בנוגע לצוואה מיולי ולצוואה מאוגוסט 1981, ולכן הגיע למסקנות מוטעות בעניין חתימתו של </w:t>
      </w:r>
      <w:r>
        <w:rPr>
          <w:rFonts w:ascii="David" w:hAnsi="David"/>
          <w:rtl/>
        </w:rPr>
        <w:lastRenderedPageBreak/>
        <w:t>העד על הצוואות. חתימתו האותנטית של מתא לא נסתרה בדו"ח המז"פ, והמערער לא ביקש לזמן את עורך דו"ח המז"פ לחקירה. בית משפט קמא קיבל את מסקנות דו"ח המז"פ וקבע כי העד מתא אכן חתם על הצוואה.</w:t>
      </w:r>
    </w:p>
    <w:p w:rsidR="00457B60" w:rsidRDefault="00457B60" w:rsidP="00457B60">
      <w:pPr>
        <w:spacing w:after="120" w:line="360" w:lineRule="auto"/>
        <w:ind w:left="1440"/>
        <w:jc w:val="both"/>
        <w:rPr>
          <w:rFonts w:ascii="David" w:hAnsi="David"/>
          <w:rtl/>
        </w:rPr>
      </w:pPr>
      <w:r>
        <w:rPr>
          <w:rFonts w:ascii="David" w:hAnsi="David"/>
          <w:rtl/>
        </w:rPr>
        <w:t xml:space="preserve">בית משפט קמא נתן משקל רב לעדותו של </w:t>
      </w:r>
      <w:r w:rsidR="000F5BF7">
        <w:rPr>
          <w:rFonts w:ascii="David" w:hAnsi="David"/>
          <w:rtl/>
        </w:rPr>
        <w:t>ר'</w:t>
      </w:r>
      <w:r>
        <w:rPr>
          <w:rFonts w:ascii="David" w:hAnsi="David"/>
          <w:rtl/>
        </w:rPr>
        <w:t xml:space="preserve">, בפרט לעדותו בעניין עריכת הצוואה ובירור רצונו של המנוח. בית משפט קמא התרשם לטובה מעדותו של </w:t>
      </w:r>
      <w:r w:rsidR="000F5BF7">
        <w:rPr>
          <w:rFonts w:ascii="David" w:hAnsi="David"/>
          <w:rtl/>
        </w:rPr>
        <w:t>ר'</w:t>
      </w:r>
      <w:r>
        <w:rPr>
          <w:rFonts w:ascii="David" w:hAnsi="David"/>
          <w:rtl/>
        </w:rPr>
        <w:t>, קיבל את גרסתו וקבע כי הצוואה אכן נערכה בהתאם לרצון המנוח, וכי המנוח היה צלול וכשיר לצוות ומרצונו הטוב והחופשי וללא כל השפעה או לחץ. הוכח בפני בית משפט קמא כי הצוואה שבמחלוקת הינה צוואתו של המנוח, וכן הוכח כי צוואה זו נחתמה בפני שני עדים; הוכח כי החתימות על גבי הצוואה הינם של</w:t>
      </w:r>
      <w:r w:rsidR="00470A97">
        <w:rPr>
          <w:rFonts w:ascii="David" w:hAnsi="David"/>
          <w:rtl/>
        </w:rPr>
        <w:t xml:space="preserve"> המצווה ושני עדי קיום (מתא ו</w:t>
      </w:r>
      <w:r w:rsidR="00470A97">
        <w:rPr>
          <w:rFonts w:ascii="David" w:hAnsi="David" w:hint="cs"/>
          <w:rtl/>
        </w:rPr>
        <w:t>- ו.ע</w:t>
      </w:r>
      <w:r>
        <w:rPr>
          <w:rFonts w:ascii="David" w:hAnsi="David"/>
          <w:rtl/>
        </w:rPr>
        <w:t xml:space="preserve">). </w:t>
      </w:r>
    </w:p>
    <w:p w:rsidR="00457B60" w:rsidRDefault="00457B60" w:rsidP="00457B60">
      <w:pPr>
        <w:spacing w:after="120" w:line="360" w:lineRule="auto"/>
        <w:ind w:left="1440"/>
        <w:jc w:val="both"/>
        <w:rPr>
          <w:rFonts w:ascii="David" w:hAnsi="David"/>
          <w:rtl/>
        </w:rPr>
      </w:pPr>
      <w:r>
        <w:rPr>
          <w:rFonts w:ascii="David" w:hAnsi="David"/>
          <w:rtl/>
        </w:rPr>
        <w:t xml:space="preserve">מן העבר השני, בית המשפט קמא החליט בצדק לדחות על הסף את טענת הזיוף, שלמעשה הייתה הטענה המרכזית בבקשת המערערים לביטול צו קיום הצוואה נשוא תיק זה, בהסתמך על כלל הראיות שהוגשו בפניו, לרבות חוות הדעת של המומחית מהמחלקה לזיהוי פלילי במשטרה. </w:t>
      </w:r>
    </w:p>
    <w:p w:rsidR="00457B60" w:rsidRDefault="00457B60" w:rsidP="00457B60">
      <w:pPr>
        <w:spacing w:after="120" w:line="360" w:lineRule="auto"/>
        <w:ind w:left="609" w:hanging="567"/>
        <w:jc w:val="both"/>
        <w:rPr>
          <w:rFonts w:ascii="David" w:hAnsi="David"/>
          <w:rtl/>
        </w:rPr>
      </w:pPr>
      <w:r>
        <w:rPr>
          <w:rFonts w:ascii="David" w:hAnsi="David"/>
          <w:rtl/>
        </w:rPr>
        <w:t>43.</w:t>
      </w:r>
      <w:r>
        <w:rPr>
          <w:rFonts w:ascii="David" w:hAnsi="David"/>
          <w:rtl/>
        </w:rPr>
        <w:tab/>
      </w:r>
      <w:r>
        <w:rPr>
          <w:rFonts w:ascii="David" w:hAnsi="David"/>
          <w:b/>
          <w:bCs/>
          <w:u w:val="single"/>
          <w:rtl/>
        </w:rPr>
        <w:t>פגמים בצוואה – מהותיים וצורניים</w:t>
      </w:r>
      <w:r>
        <w:rPr>
          <w:rFonts w:ascii="David" w:hAnsi="David"/>
          <w:rtl/>
        </w:rPr>
        <w:t>:</w:t>
      </w:r>
    </w:p>
    <w:p w:rsidR="00457B60" w:rsidRDefault="00457B60" w:rsidP="00457B60">
      <w:pPr>
        <w:spacing w:after="120" w:line="360" w:lineRule="auto"/>
        <w:ind w:left="1440" w:hanging="828"/>
        <w:jc w:val="both"/>
        <w:rPr>
          <w:rFonts w:ascii="David" w:hAnsi="David"/>
          <w:rtl/>
        </w:rPr>
      </w:pPr>
      <w:r>
        <w:rPr>
          <w:rFonts w:ascii="David" w:hAnsi="David"/>
          <w:rtl/>
        </w:rPr>
        <w:t>א.</w:t>
      </w:r>
      <w:r>
        <w:rPr>
          <w:rFonts w:ascii="David" w:hAnsi="David"/>
          <w:rtl/>
        </w:rPr>
        <w:tab/>
        <w:t xml:space="preserve">בית המשפט קמא קבע, בהסתמך על עדויות ומסמכי החקירה של המשטרה לרבות חוות הדעת של מז"פ, כי מתא אכן חתם כעד על שתי צוואות ובפרט צוואת אוגוסט 1981, הצוואה שבמחלוקת. בזאת הרים </w:t>
      </w:r>
      <w:r w:rsidR="000F5BF7">
        <w:rPr>
          <w:rFonts w:ascii="David" w:hAnsi="David"/>
          <w:rtl/>
        </w:rPr>
        <w:t>ו'</w:t>
      </w:r>
      <w:r>
        <w:rPr>
          <w:rFonts w:ascii="David" w:hAnsi="David"/>
          <w:rtl/>
        </w:rPr>
        <w:t xml:space="preserve"> את נטל ההוכחה להוכחת אמיתות הצוואה וכי נחתמה בפני עדים. זאת על אף הסתירות הרבות של מתא בעדותו בבית המשפט, לבקשת </w:t>
      </w:r>
      <w:r w:rsidR="000F5BF7">
        <w:rPr>
          <w:rFonts w:ascii="David" w:hAnsi="David"/>
          <w:rtl/>
        </w:rPr>
        <w:t>ס'</w:t>
      </w:r>
      <w:r>
        <w:rPr>
          <w:rFonts w:ascii="David" w:hAnsi="David"/>
          <w:rtl/>
        </w:rPr>
        <w:t xml:space="preserve"> ז"ל, בשלושה מועדים שונים, בשנים 2018, 2020, 2021, כך שניתן לעד זה הזדמנויות רבות "לשפר עמדות". עד זה הוזמן ע"י המערערים, ניסה בעדותו בפני בית משפט קמא לסייע למערערים בגרסתם השקרית בדבר זיוף הצוואה, התחמק מלתת תשובות בחקירתו הנגדית, מסר גרסאות סותרות ושיקר בפני בית משפט קמא.</w:t>
      </w:r>
    </w:p>
    <w:p w:rsidR="00457B60" w:rsidRDefault="00457B60" w:rsidP="00457B60">
      <w:pPr>
        <w:spacing w:after="120" w:line="360" w:lineRule="auto"/>
        <w:ind w:left="1439" w:hanging="830"/>
        <w:jc w:val="both"/>
        <w:rPr>
          <w:rFonts w:ascii="David" w:hAnsi="David"/>
          <w:rtl/>
        </w:rPr>
      </w:pPr>
      <w:r>
        <w:rPr>
          <w:rFonts w:ascii="David" w:hAnsi="David"/>
          <w:rtl/>
        </w:rPr>
        <w:t>ב.</w:t>
      </w:r>
      <w:r>
        <w:rPr>
          <w:rFonts w:ascii="David" w:hAnsi="David"/>
          <w:rtl/>
        </w:rPr>
        <w:tab/>
        <w:t>פסק הדין קבע, בהתייחס לטענות המערערים לעניין חתימת העדים לצוואה במועדים שונים, כי כעולה מעדותו של העד מתא מיום 08/01/2018, הצוואה נכתבה בנוכחותו ונחתמה "</w:t>
      </w:r>
      <w:r>
        <w:rPr>
          <w:rFonts w:ascii="David" w:hAnsi="David"/>
          <w:b/>
          <w:bCs/>
          <w:rtl/>
        </w:rPr>
        <w:t>על ידינו</w:t>
      </w:r>
      <w:r>
        <w:rPr>
          <w:rFonts w:ascii="David" w:hAnsi="David"/>
          <w:rtl/>
        </w:rPr>
        <w:t>". כלומר, משתמע מעדותו כי אף המנוח חתם באותו מעמד על הצוואה.</w:t>
      </w:r>
    </w:p>
    <w:p w:rsidR="00457B60" w:rsidRDefault="00457B60" w:rsidP="00457B60">
      <w:pPr>
        <w:spacing w:after="120" w:line="360" w:lineRule="auto"/>
        <w:ind w:left="1439" w:firstLine="3"/>
        <w:jc w:val="both"/>
        <w:rPr>
          <w:rFonts w:ascii="David" w:hAnsi="David"/>
          <w:rtl/>
        </w:rPr>
      </w:pPr>
      <w:r>
        <w:rPr>
          <w:rFonts w:ascii="David" w:hAnsi="David"/>
          <w:rtl/>
        </w:rPr>
        <w:t>בית משפט קמא קבע כי בהתאם לפסיקה ולדין, אין מניעה שהעדים יחתמו במועדים שונים ככל שהמנוח הצהיר בפני כל עד שזו צוואתו, וככל שחתם על הצוואה, מאשר בפני כל עד את חתימתו. בית משפט קמא הגיע למסקנה הנכונה כי גם אם נקבל טענת המערערים, שלא הוכחה, שהעדים לא חתמו באותו מעמד יחדיו על הצוואה כעדים, ממילא ניתן לתקן פגם זה.</w:t>
      </w:r>
    </w:p>
    <w:p w:rsidR="00457B60" w:rsidRDefault="00457B60" w:rsidP="00457B60">
      <w:pPr>
        <w:spacing w:after="120" w:line="360" w:lineRule="auto"/>
        <w:ind w:left="1439" w:hanging="830"/>
        <w:jc w:val="both"/>
        <w:rPr>
          <w:rFonts w:ascii="David" w:hAnsi="David"/>
          <w:rtl/>
        </w:rPr>
      </w:pPr>
      <w:r>
        <w:rPr>
          <w:rFonts w:ascii="David" w:hAnsi="David"/>
          <w:rtl/>
        </w:rPr>
        <w:t>ג.</w:t>
      </w:r>
      <w:r>
        <w:rPr>
          <w:rFonts w:ascii="David" w:hAnsi="David"/>
          <w:rtl/>
        </w:rPr>
        <w:tab/>
        <w:t>בעניין טענות המערערים לכשרות המנוח לצוות צוואה, דבר המצריך הוכחת עניין שברפואה, נמנעו המערערים מהצגת תיקו הרפואי של המנוח, מתוך ידיעתם הברורה כי המנוח היה כשיר ולא נפל כל פגם בכשרותו; ואף נמנעו מלעתור למינוי מומחה רפואי מתאים. מהעדויות שהובאו בתיק קמא, לא</w:t>
      </w:r>
      <w:r>
        <w:rPr>
          <w:rFonts w:ascii="David" w:hAnsi="David"/>
        </w:rPr>
        <w:t xml:space="preserve"> </w:t>
      </w:r>
      <w:r>
        <w:rPr>
          <w:rFonts w:ascii="David" w:hAnsi="David"/>
          <w:rtl/>
        </w:rPr>
        <w:t>התרשם</w:t>
      </w:r>
      <w:r>
        <w:rPr>
          <w:rFonts w:ascii="David" w:hAnsi="David"/>
        </w:rPr>
        <w:t xml:space="preserve"> </w:t>
      </w:r>
      <w:r>
        <w:rPr>
          <w:rFonts w:ascii="David" w:hAnsi="David"/>
          <w:rtl/>
        </w:rPr>
        <w:t>בית</w:t>
      </w:r>
      <w:r>
        <w:rPr>
          <w:rFonts w:ascii="David" w:hAnsi="David"/>
        </w:rPr>
        <w:t xml:space="preserve"> </w:t>
      </w:r>
      <w:r>
        <w:rPr>
          <w:rFonts w:ascii="David" w:hAnsi="David"/>
          <w:rtl/>
        </w:rPr>
        <w:t>המשפט</w:t>
      </w:r>
      <w:r>
        <w:rPr>
          <w:rFonts w:ascii="David" w:hAnsi="David"/>
        </w:rPr>
        <w:t xml:space="preserve"> </w:t>
      </w:r>
      <w:r>
        <w:rPr>
          <w:rFonts w:ascii="David" w:hAnsi="David"/>
          <w:rtl/>
        </w:rPr>
        <w:t>קמא</w:t>
      </w:r>
      <w:r>
        <w:rPr>
          <w:rFonts w:ascii="David" w:hAnsi="David"/>
        </w:rPr>
        <w:t xml:space="preserve"> </w:t>
      </w:r>
      <w:r>
        <w:rPr>
          <w:rFonts w:ascii="David" w:hAnsi="David"/>
          <w:rtl/>
        </w:rPr>
        <w:t>כי</w:t>
      </w:r>
      <w:r>
        <w:rPr>
          <w:rFonts w:ascii="David" w:hAnsi="David"/>
        </w:rPr>
        <w:t xml:space="preserve"> </w:t>
      </w:r>
      <w:r>
        <w:rPr>
          <w:rFonts w:ascii="David" w:hAnsi="David"/>
          <w:rtl/>
        </w:rPr>
        <w:t>נפל</w:t>
      </w:r>
      <w:r>
        <w:rPr>
          <w:rFonts w:ascii="David" w:hAnsi="David"/>
        </w:rPr>
        <w:t xml:space="preserve"> </w:t>
      </w:r>
      <w:r>
        <w:rPr>
          <w:rFonts w:ascii="David" w:hAnsi="David"/>
          <w:rtl/>
        </w:rPr>
        <w:t>פגם</w:t>
      </w:r>
      <w:r>
        <w:rPr>
          <w:rFonts w:ascii="David" w:hAnsi="David"/>
        </w:rPr>
        <w:t xml:space="preserve"> </w:t>
      </w:r>
      <w:r>
        <w:rPr>
          <w:rFonts w:ascii="David" w:hAnsi="David"/>
          <w:rtl/>
        </w:rPr>
        <w:t>בכשרותו</w:t>
      </w:r>
      <w:r>
        <w:rPr>
          <w:rFonts w:ascii="David" w:hAnsi="David"/>
        </w:rPr>
        <w:t xml:space="preserve"> </w:t>
      </w:r>
      <w:r>
        <w:rPr>
          <w:rFonts w:ascii="David" w:hAnsi="David"/>
          <w:rtl/>
        </w:rPr>
        <w:t>של</w:t>
      </w:r>
      <w:r>
        <w:rPr>
          <w:rFonts w:ascii="David" w:hAnsi="David"/>
        </w:rPr>
        <w:t xml:space="preserve"> </w:t>
      </w:r>
      <w:r>
        <w:rPr>
          <w:rFonts w:ascii="David" w:hAnsi="David"/>
          <w:rtl/>
        </w:rPr>
        <w:t>המנוח</w:t>
      </w:r>
      <w:r>
        <w:rPr>
          <w:rFonts w:ascii="David" w:hAnsi="David"/>
        </w:rPr>
        <w:t xml:space="preserve"> </w:t>
      </w:r>
      <w:r>
        <w:rPr>
          <w:rFonts w:ascii="David" w:hAnsi="David"/>
          <w:rtl/>
        </w:rPr>
        <w:t>ולא</w:t>
      </w:r>
      <w:r>
        <w:rPr>
          <w:rFonts w:ascii="David" w:hAnsi="David"/>
        </w:rPr>
        <w:t xml:space="preserve"> </w:t>
      </w:r>
      <w:r>
        <w:rPr>
          <w:rFonts w:ascii="David" w:hAnsi="David"/>
          <w:rtl/>
        </w:rPr>
        <w:t>נמצא</w:t>
      </w:r>
      <w:r>
        <w:rPr>
          <w:rFonts w:ascii="David" w:hAnsi="David"/>
        </w:rPr>
        <w:t xml:space="preserve"> </w:t>
      </w:r>
      <w:r>
        <w:rPr>
          <w:rFonts w:ascii="David" w:hAnsi="David"/>
          <w:rtl/>
        </w:rPr>
        <w:t>ביסוס</w:t>
      </w:r>
      <w:r>
        <w:rPr>
          <w:rFonts w:ascii="David" w:hAnsi="David"/>
        </w:rPr>
        <w:t xml:space="preserve"> </w:t>
      </w:r>
      <w:r>
        <w:rPr>
          <w:rFonts w:ascii="David" w:hAnsi="David"/>
          <w:rtl/>
        </w:rPr>
        <w:t>לכך</w:t>
      </w:r>
      <w:r>
        <w:rPr>
          <w:rFonts w:ascii="David" w:hAnsi="David"/>
        </w:rPr>
        <w:t>.</w:t>
      </w:r>
    </w:p>
    <w:p w:rsidR="00457B60" w:rsidRDefault="00457B60" w:rsidP="00457B60">
      <w:pPr>
        <w:spacing w:after="120" w:line="360" w:lineRule="auto"/>
        <w:ind w:left="1439" w:hanging="830"/>
        <w:jc w:val="both"/>
        <w:rPr>
          <w:rFonts w:ascii="David" w:hAnsi="David"/>
          <w:rtl/>
        </w:rPr>
      </w:pPr>
      <w:r>
        <w:rPr>
          <w:rFonts w:ascii="David" w:hAnsi="David"/>
          <w:rtl/>
        </w:rPr>
        <w:lastRenderedPageBreak/>
        <w:t>ד.</w:t>
      </w:r>
      <w:r>
        <w:rPr>
          <w:rFonts w:ascii="David" w:hAnsi="David"/>
          <w:rtl/>
        </w:rPr>
        <w:tab/>
        <w:t xml:space="preserve">בכל הקשור למעורבות נטענת של </w:t>
      </w:r>
      <w:r w:rsidR="000F5BF7">
        <w:rPr>
          <w:rFonts w:ascii="David" w:hAnsi="David"/>
          <w:rtl/>
        </w:rPr>
        <w:t>ו'</w:t>
      </w:r>
      <w:r>
        <w:rPr>
          <w:rFonts w:ascii="David" w:hAnsi="David"/>
          <w:rtl/>
        </w:rPr>
        <w:t xml:space="preserve"> בעריכת הצוואה, בית משפט קמא נתן משקל רב לעדותו של </w:t>
      </w:r>
      <w:r w:rsidR="000F5BF7">
        <w:rPr>
          <w:rFonts w:ascii="David" w:hAnsi="David"/>
          <w:rtl/>
        </w:rPr>
        <w:t>ר'</w:t>
      </w:r>
      <w:r>
        <w:rPr>
          <w:rFonts w:ascii="David" w:hAnsi="David"/>
          <w:rtl/>
        </w:rPr>
        <w:t xml:space="preserve"> בדחיית טענה זאת, שכן זו היא העדות המרכזית הנוגעת לטענות מעורבות לכאורה של </w:t>
      </w:r>
      <w:r w:rsidR="000F5BF7">
        <w:rPr>
          <w:rFonts w:ascii="David" w:hAnsi="David"/>
          <w:rtl/>
        </w:rPr>
        <w:t>ו'</w:t>
      </w:r>
      <w:r>
        <w:rPr>
          <w:rFonts w:ascii="David" w:hAnsi="David"/>
          <w:rtl/>
        </w:rPr>
        <w:t xml:space="preserve"> בעריכת הצוואה.</w:t>
      </w:r>
    </w:p>
    <w:p w:rsidR="00457B60" w:rsidRDefault="00457B60" w:rsidP="00457B60">
      <w:pPr>
        <w:spacing w:after="120" w:line="360" w:lineRule="auto"/>
        <w:ind w:left="1439" w:firstLine="3"/>
        <w:jc w:val="both"/>
        <w:rPr>
          <w:rFonts w:ascii="David" w:hAnsi="David"/>
          <w:rtl/>
        </w:rPr>
      </w:pPr>
      <w:r>
        <w:rPr>
          <w:rFonts w:ascii="David" w:hAnsi="David"/>
          <w:rtl/>
        </w:rPr>
        <w:t xml:space="preserve">בית משפט קמא פירט בפסק דינו בהרחבה, את כל הנסיבות לעריכת הצוואה של המנוח ע"י </w:t>
      </w:r>
      <w:r w:rsidR="000F5BF7">
        <w:rPr>
          <w:rFonts w:ascii="David" w:hAnsi="David"/>
          <w:rtl/>
        </w:rPr>
        <w:t>ר'</w:t>
      </w:r>
      <w:r>
        <w:rPr>
          <w:rFonts w:ascii="David" w:hAnsi="David"/>
          <w:rtl/>
        </w:rPr>
        <w:t xml:space="preserve">, לרבות קבלת תוכני הצוואה מהמנוח ואף ציין כי עדותו של </w:t>
      </w:r>
      <w:r w:rsidR="000F5BF7">
        <w:rPr>
          <w:rFonts w:ascii="David" w:hAnsi="David"/>
          <w:rtl/>
        </w:rPr>
        <w:t>ר'</w:t>
      </w:r>
      <w:r>
        <w:rPr>
          <w:rFonts w:ascii="David" w:hAnsi="David"/>
          <w:rtl/>
        </w:rPr>
        <w:t xml:space="preserve"> תואמת בעניין זה את עדותו במשטרה. בית משפט קמא קבע כי מכלול המידע שהתקבל לידי </w:t>
      </w:r>
      <w:r w:rsidR="000F5BF7">
        <w:rPr>
          <w:rFonts w:ascii="David" w:hAnsi="David"/>
          <w:rtl/>
        </w:rPr>
        <w:t>ר'</w:t>
      </w:r>
      <w:r>
        <w:rPr>
          <w:rFonts w:ascii="David" w:hAnsi="David"/>
          <w:rtl/>
        </w:rPr>
        <w:t xml:space="preserve"> הינו מידע מהמנוח בעצמו, ואת פרטי החל</w:t>
      </w:r>
      <w:r w:rsidR="005B152C">
        <w:rPr>
          <w:rFonts w:ascii="David" w:hAnsi="David"/>
          <w:rtl/>
        </w:rPr>
        <w:t xml:space="preserve">קות קיבל מחתנו של המנוח, מר </w:t>
      </w:r>
      <w:r w:rsidR="005B152C">
        <w:rPr>
          <w:rFonts w:ascii="David" w:hAnsi="David" w:hint="cs"/>
          <w:rtl/>
        </w:rPr>
        <w:t>...</w:t>
      </w:r>
      <w:r>
        <w:rPr>
          <w:rFonts w:ascii="David" w:hAnsi="David"/>
          <w:rtl/>
        </w:rPr>
        <w:t xml:space="preserve"> שעבד במועצה המקומית, ואף הבהיר כי לא נדרש לסיוע מ</w:t>
      </w:r>
      <w:r w:rsidR="000F5BF7">
        <w:rPr>
          <w:rFonts w:ascii="David" w:hAnsi="David"/>
          <w:rtl/>
        </w:rPr>
        <w:t>ו'</w:t>
      </w:r>
      <w:r>
        <w:rPr>
          <w:rFonts w:ascii="David" w:hAnsi="David"/>
          <w:rtl/>
        </w:rPr>
        <w:t xml:space="preserve">. בית משפט קמא קיבל את עדותו של </w:t>
      </w:r>
      <w:r w:rsidR="000F5BF7">
        <w:rPr>
          <w:rFonts w:ascii="David" w:hAnsi="David"/>
          <w:rtl/>
        </w:rPr>
        <w:t>ר'</w:t>
      </w:r>
      <w:r>
        <w:rPr>
          <w:rFonts w:ascii="David" w:hAnsi="David"/>
          <w:rtl/>
        </w:rPr>
        <w:t xml:space="preserve"> ולא עלה בידי המערערים לסתור את גרסתו.</w:t>
      </w:r>
    </w:p>
    <w:p w:rsidR="00457B60" w:rsidRDefault="00457B60" w:rsidP="00457B60">
      <w:pPr>
        <w:spacing w:after="120" w:line="360" w:lineRule="auto"/>
        <w:ind w:left="1439" w:firstLine="3"/>
        <w:jc w:val="both"/>
        <w:rPr>
          <w:rFonts w:ascii="David" w:hAnsi="David"/>
          <w:rtl/>
        </w:rPr>
      </w:pPr>
      <w:r>
        <w:rPr>
          <w:rFonts w:ascii="David" w:hAnsi="David"/>
          <w:rtl/>
        </w:rPr>
        <w:t>בנוסף לאמור לעיל, בית משפט קמא קבע כי מעדותם של מתא ו</w:t>
      </w:r>
      <w:r w:rsidR="000F5BF7">
        <w:rPr>
          <w:rFonts w:ascii="David" w:hAnsi="David"/>
          <w:rtl/>
        </w:rPr>
        <w:t>ר'</w:t>
      </w:r>
      <w:r>
        <w:rPr>
          <w:rFonts w:ascii="David" w:hAnsi="David"/>
          <w:rtl/>
        </w:rPr>
        <w:t xml:space="preserve"> בעניין זה, לא היה ניתן לקבוע בוודאות כי </w:t>
      </w:r>
      <w:r w:rsidR="000F5BF7">
        <w:rPr>
          <w:rFonts w:ascii="David" w:hAnsi="David"/>
          <w:rtl/>
        </w:rPr>
        <w:t>ו'</w:t>
      </w:r>
      <w:r>
        <w:rPr>
          <w:rFonts w:ascii="David" w:hAnsi="David"/>
          <w:rtl/>
        </w:rPr>
        <w:t xml:space="preserve"> אכן נכח בפועל במעמד החתימה על הצוואות. יתירה מזאת, </w:t>
      </w:r>
      <w:r w:rsidR="000F5BF7">
        <w:rPr>
          <w:rFonts w:ascii="David" w:hAnsi="David"/>
          <w:rtl/>
        </w:rPr>
        <w:t>ר'</w:t>
      </w:r>
      <w:r>
        <w:rPr>
          <w:rFonts w:ascii="David" w:hAnsi="David"/>
          <w:rtl/>
        </w:rPr>
        <w:t xml:space="preserve"> בעדותו בפני בית המשפט, העיד כי במידה ש</w:t>
      </w:r>
      <w:r w:rsidR="000F5BF7">
        <w:rPr>
          <w:rFonts w:ascii="David" w:hAnsi="David"/>
          <w:rtl/>
        </w:rPr>
        <w:t>ו'</w:t>
      </w:r>
      <w:r>
        <w:rPr>
          <w:rFonts w:ascii="David" w:hAnsi="David"/>
          <w:rtl/>
        </w:rPr>
        <w:t xml:space="preserve"> היה מנסה ליטול חלק בצוואה, לא היה מסכים להמשיך בעריכתה.</w:t>
      </w:r>
    </w:p>
    <w:p w:rsidR="00457B60" w:rsidRDefault="00457B60" w:rsidP="00457B60">
      <w:pPr>
        <w:spacing w:after="120" w:line="360" w:lineRule="auto"/>
        <w:ind w:left="1439" w:hanging="830"/>
        <w:jc w:val="both"/>
        <w:rPr>
          <w:rFonts w:ascii="David" w:hAnsi="David"/>
          <w:rtl/>
        </w:rPr>
      </w:pPr>
      <w:r>
        <w:rPr>
          <w:rFonts w:ascii="David" w:hAnsi="David"/>
          <w:rtl/>
        </w:rPr>
        <w:t>ה.</w:t>
      </w:r>
      <w:r>
        <w:rPr>
          <w:rFonts w:ascii="David" w:hAnsi="David"/>
          <w:rtl/>
        </w:rPr>
        <w:tab/>
        <w:t xml:space="preserve">בית משפט קמא אף קבע כי מעיון בשלוש הצוואות עולה, כי המנוח בחר שלא לחלק את עזבונו שווה בשווה בין בניו, ולמעשה בשתי הצוואות הראשונות ציווה נתח גדול יותר מעיזבונו לטובת </w:t>
      </w:r>
      <w:r w:rsidR="000F5BF7">
        <w:rPr>
          <w:rFonts w:ascii="David" w:hAnsi="David"/>
          <w:rtl/>
        </w:rPr>
        <w:t>ו'</w:t>
      </w:r>
      <w:r>
        <w:rPr>
          <w:rFonts w:ascii="David" w:hAnsi="David"/>
          <w:rtl/>
        </w:rPr>
        <w:t>. לכן כאשר המנוח ציווה בצוואה שבמחלוקת את כל רכושו ל</w:t>
      </w:r>
      <w:r w:rsidR="000F5BF7">
        <w:rPr>
          <w:rFonts w:ascii="David" w:hAnsi="David"/>
          <w:rtl/>
        </w:rPr>
        <w:t>ו'</w:t>
      </w:r>
      <w:r>
        <w:rPr>
          <w:rFonts w:ascii="David" w:hAnsi="David"/>
          <w:rtl/>
        </w:rPr>
        <w:t xml:space="preserve">, לא היה בכך כדי להדליק "נורה אדומה". עובדה זו מקבלת משנה תוקף לאור עדותו של </w:t>
      </w:r>
      <w:r w:rsidR="000F5BF7">
        <w:rPr>
          <w:rFonts w:ascii="David" w:hAnsi="David"/>
          <w:rtl/>
        </w:rPr>
        <w:t>ר'</w:t>
      </w:r>
      <w:r>
        <w:rPr>
          <w:rFonts w:ascii="David" w:hAnsi="David"/>
          <w:rtl/>
        </w:rPr>
        <w:t xml:space="preserve"> כי בכל אחת משלוש הצוואות, </w:t>
      </w:r>
      <w:r w:rsidR="000F5BF7">
        <w:rPr>
          <w:rFonts w:ascii="David" w:hAnsi="David"/>
          <w:rtl/>
        </w:rPr>
        <w:t>ר'</w:t>
      </w:r>
      <w:r>
        <w:rPr>
          <w:rFonts w:ascii="David" w:hAnsi="David"/>
          <w:rtl/>
        </w:rPr>
        <w:t xml:space="preserve"> נפגש עם המנוח כדי לשמוע מפיו את רצונו ובזאת יצא ידי חובתו לברר את רצון המנוח, ובכל הפגישות המנוח סיפר ל</w:t>
      </w:r>
      <w:r w:rsidR="000F5BF7">
        <w:rPr>
          <w:rFonts w:ascii="David" w:hAnsi="David"/>
          <w:rtl/>
        </w:rPr>
        <w:t>ר'</w:t>
      </w:r>
      <w:r>
        <w:rPr>
          <w:rFonts w:ascii="David" w:hAnsi="David"/>
          <w:rtl/>
        </w:rPr>
        <w:t xml:space="preserve"> כי בכוונתו לגמול לבנו </w:t>
      </w:r>
      <w:r w:rsidR="000F5BF7">
        <w:rPr>
          <w:rFonts w:ascii="David" w:hAnsi="David"/>
          <w:rtl/>
        </w:rPr>
        <w:t>ו'</w:t>
      </w:r>
      <w:r>
        <w:rPr>
          <w:rFonts w:ascii="David" w:hAnsi="David"/>
          <w:rtl/>
        </w:rPr>
        <w:t>.</w:t>
      </w:r>
    </w:p>
    <w:p w:rsidR="00457B60" w:rsidRDefault="00457B60" w:rsidP="00457B60">
      <w:pPr>
        <w:spacing w:after="120" w:line="360" w:lineRule="auto"/>
        <w:ind w:left="1439" w:firstLine="3"/>
        <w:jc w:val="both"/>
        <w:rPr>
          <w:rFonts w:ascii="David" w:hAnsi="David"/>
          <w:rtl/>
        </w:rPr>
      </w:pPr>
      <w:r>
        <w:rPr>
          <w:rFonts w:ascii="David" w:hAnsi="David"/>
          <w:rtl/>
        </w:rPr>
        <w:t>בית משפט קמא אף קבע כי לא הוכח ש</w:t>
      </w:r>
      <w:r w:rsidR="000F5BF7">
        <w:rPr>
          <w:rFonts w:ascii="David" w:hAnsi="David"/>
          <w:rtl/>
        </w:rPr>
        <w:t>ו'</w:t>
      </w:r>
      <w:r>
        <w:rPr>
          <w:rFonts w:ascii="David" w:hAnsi="David"/>
          <w:rtl/>
        </w:rPr>
        <w:t xml:space="preserve"> נטל חלק אקטיבי בעריכת הצוואה, וכי ככל שהייתה מעורבות כזאת, היא הייתה מינימלית וטכנית בלבד. </w:t>
      </w:r>
    </w:p>
    <w:p w:rsidR="00457B60" w:rsidRDefault="00457B60" w:rsidP="00457B60">
      <w:pPr>
        <w:spacing w:after="120" w:line="360" w:lineRule="auto"/>
        <w:ind w:left="1439" w:hanging="827"/>
        <w:jc w:val="both"/>
        <w:rPr>
          <w:rFonts w:ascii="David" w:hAnsi="David"/>
          <w:rtl/>
        </w:rPr>
      </w:pPr>
      <w:r>
        <w:rPr>
          <w:rFonts w:ascii="David" w:hAnsi="David"/>
          <w:rtl/>
        </w:rPr>
        <w:t>ו.</w:t>
      </w:r>
      <w:r>
        <w:rPr>
          <w:rFonts w:ascii="David" w:hAnsi="David"/>
          <w:rtl/>
        </w:rPr>
        <w:tab/>
        <w:t>בעניין טענות להשפעה בלתי הוגנת, בית משפט קמא הסתמך על מבחני עזר שנקבעו בפסיקה ובפרט המבחנים שנקבעו ב</w:t>
      </w:r>
      <w:r>
        <w:rPr>
          <w:rFonts w:ascii="David" w:hAnsi="David"/>
          <w:b/>
          <w:bCs/>
          <w:rtl/>
        </w:rPr>
        <w:t>הלכת מרום</w:t>
      </w:r>
      <w:r>
        <w:rPr>
          <w:rFonts w:ascii="David" w:hAnsi="David"/>
          <w:rtl/>
        </w:rPr>
        <w:t xml:space="preserve">. בית משפט קמא התייחס לכל מבחן בכובד ראש ובפירוט, וקבע כי המערערים לא הצליחו להרים את הנטל להוכחת טענתם לקיומה של השפעה בלתי הוגנת מצד </w:t>
      </w:r>
      <w:r w:rsidR="000F5BF7">
        <w:rPr>
          <w:rFonts w:ascii="David" w:hAnsi="David"/>
          <w:rtl/>
        </w:rPr>
        <w:t>ו'</w:t>
      </w:r>
      <w:r>
        <w:rPr>
          <w:rFonts w:ascii="David" w:hAnsi="David"/>
          <w:rtl/>
        </w:rPr>
        <w:t xml:space="preserve"> על המנוח. </w:t>
      </w:r>
    </w:p>
    <w:p w:rsidR="00457B60" w:rsidRDefault="00457B60" w:rsidP="00457B60">
      <w:pPr>
        <w:spacing w:after="120" w:line="360" w:lineRule="auto"/>
        <w:jc w:val="both"/>
        <w:rPr>
          <w:rFonts w:ascii="David" w:hAnsi="David"/>
          <w:rtl/>
        </w:rPr>
      </w:pPr>
    </w:p>
    <w:p w:rsidR="00457B60" w:rsidRDefault="00457B60" w:rsidP="00457B60">
      <w:pPr>
        <w:spacing w:after="120" w:line="360" w:lineRule="auto"/>
        <w:jc w:val="both"/>
        <w:rPr>
          <w:rFonts w:ascii="David" w:hAnsi="David"/>
          <w:b/>
          <w:bCs/>
          <w:u w:val="single"/>
          <w:rtl/>
        </w:rPr>
      </w:pPr>
      <w:r>
        <w:rPr>
          <w:rFonts w:ascii="David" w:hAnsi="David"/>
          <w:b/>
          <w:bCs/>
          <w:u w:val="single"/>
          <w:rtl/>
        </w:rPr>
        <w:t>בקשה להתיר הבאת ראיות נוספות בערעור</w:t>
      </w:r>
    </w:p>
    <w:p w:rsidR="00457B60" w:rsidRDefault="00457B60" w:rsidP="00457B60">
      <w:pPr>
        <w:tabs>
          <w:tab w:val="left" w:pos="5238"/>
        </w:tabs>
        <w:spacing w:after="120" w:line="360" w:lineRule="auto"/>
        <w:ind w:left="720" w:hanging="720"/>
        <w:jc w:val="both"/>
        <w:rPr>
          <w:rFonts w:ascii="David" w:hAnsi="David"/>
        </w:rPr>
      </w:pPr>
      <w:r>
        <w:rPr>
          <w:rFonts w:ascii="David" w:hAnsi="David"/>
          <w:rtl/>
        </w:rPr>
        <w:t>44.</w:t>
      </w:r>
      <w:r>
        <w:rPr>
          <w:rFonts w:ascii="David" w:hAnsi="David"/>
          <w:rtl/>
        </w:rPr>
        <w:tab/>
        <w:t xml:space="preserve">ביום 20.6.2024, כארבעה ימים טרם שמיעת הערעורים דנן, הגישו יורשי </w:t>
      </w:r>
      <w:r w:rsidR="000F5BF7">
        <w:rPr>
          <w:rFonts w:ascii="David" w:hAnsi="David"/>
          <w:rtl/>
        </w:rPr>
        <w:t>ס'</w:t>
      </w:r>
      <w:r>
        <w:rPr>
          <w:rFonts w:ascii="David" w:hAnsi="David"/>
          <w:rtl/>
        </w:rPr>
        <w:t xml:space="preserve"> בקשה להתיר הגשת ראיות נוספות בערעור.</w:t>
      </w:r>
    </w:p>
    <w:p w:rsidR="00457B60" w:rsidRDefault="00457B60" w:rsidP="00457B60">
      <w:pPr>
        <w:tabs>
          <w:tab w:val="left" w:pos="5238"/>
        </w:tabs>
        <w:spacing w:after="120" w:line="360" w:lineRule="auto"/>
        <w:ind w:left="720" w:hanging="720"/>
        <w:jc w:val="both"/>
        <w:rPr>
          <w:rFonts w:ascii="David" w:hAnsi="David"/>
          <w:rtl/>
        </w:rPr>
      </w:pPr>
      <w:r>
        <w:rPr>
          <w:rFonts w:ascii="David" w:hAnsi="David"/>
          <w:rtl/>
        </w:rPr>
        <w:t>45.</w:t>
      </w:r>
      <w:r>
        <w:rPr>
          <w:rFonts w:ascii="David" w:hAnsi="David"/>
          <w:rtl/>
        </w:rPr>
        <w:tab/>
      </w:r>
      <w:r>
        <w:rPr>
          <w:rFonts w:ascii="David" w:hAnsi="David"/>
          <w:u w:val="single"/>
          <w:rtl/>
        </w:rPr>
        <w:t>עסקינן בשני מסמכים אותם ביקשו לצרף, כדלקמן</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t>א.</w:t>
      </w:r>
      <w:r>
        <w:rPr>
          <w:rFonts w:ascii="David" w:hAnsi="David"/>
          <w:rtl/>
        </w:rPr>
        <w:tab/>
        <w:t xml:space="preserve">מכתבו של </w:t>
      </w:r>
      <w:r w:rsidR="000F5BF7">
        <w:rPr>
          <w:rFonts w:ascii="David" w:hAnsi="David"/>
          <w:rtl/>
        </w:rPr>
        <w:t>ר'</w:t>
      </w:r>
      <w:r>
        <w:rPr>
          <w:rFonts w:ascii="David" w:hAnsi="David"/>
          <w:rtl/>
        </w:rPr>
        <w:t xml:space="preserve"> מיום 29.1.2002 בשם "מרשו" </w:t>
      </w:r>
      <w:r w:rsidR="000F5BF7">
        <w:rPr>
          <w:rFonts w:ascii="David" w:hAnsi="David"/>
          <w:rtl/>
        </w:rPr>
        <w:t>ו'</w:t>
      </w:r>
      <w:r>
        <w:rPr>
          <w:rFonts w:ascii="David" w:hAnsi="David"/>
          <w:rtl/>
        </w:rPr>
        <w:t>, המופנה לעו"ד ויקטור מנסור ומר שאהין אליאס בוטרוס, בנושא סכסוך האחים דנן.</w:t>
      </w:r>
    </w:p>
    <w:p w:rsidR="00457B60" w:rsidRDefault="00457B60" w:rsidP="00457B60">
      <w:pPr>
        <w:spacing w:after="120" w:line="360" w:lineRule="auto"/>
        <w:ind w:left="1440" w:hanging="720"/>
        <w:jc w:val="both"/>
        <w:rPr>
          <w:rFonts w:ascii="David" w:hAnsi="David"/>
          <w:rtl/>
        </w:rPr>
      </w:pPr>
      <w:r>
        <w:rPr>
          <w:rFonts w:ascii="David" w:hAnsi="David"/>
          <w:rtl/>
        </w:rPr>
        <w:lastRenderedPageBreak/>
        <w:tab/>
      </w:r>
      <w:r>
        <w:rPr>
          <w:rFonts w:ascii="David" w:hAnsi="David"/>
          <w:u w:val="single"/>
          <w:rtl/>
        </w:rPr>
        <w:t xml:space="preserve">במכתבו האמור רשם </w:t>
      </w:r>
      <w:r w:rsidR="000F5BF7">
        <w:rPr>
          <w:rFonts w:ascii="David" w:hAnsi="David"/>
          <w:u w:val="single"/>
          <w:rtl/>
        </w:rPr>
        <w:t>ר'</w:t>
      </w:r>
      <w:r>
        <w:rPr>
          <w:rFonts w:ascii="David" w:hAnsi="David"/>
          <w:u w:val="single"/>
          <w:rtl/>
        </w:rPr>
        <w:t xml:space="preserve"> כדלקמן</w:t>
      </w:r>
      <w:r>
        <w:rPr>
          <w:rFonts w:ascii="David" w:hAnsi="David"/>
          <w:rtl/>
        </w:rPr>
        <w:t xml:space="preserve">: </w:t>
      </w:r>
    </w:p>
    <w:p w:rsidR="00457B60" w:rsidRDefault="00457B60" w:rsidP="00457B60">
      <w:pPr>
        <w:spacing w:after="120" w:line="360" w:lineRule="auto"/>
        <w:ind w:left="1440" w:right="567" w:hanging="720"/>
        <w:jc w:val="both"/>
        <w:rPr>
          <w:rFonts w:ascii="David" w:hAnsi="David"/>
          <w:b/>
          <w:bCs/>
          <w:rtl/>
        </w:rPr>
      </w:pPr>
      <w:r>
        <w:rPr>
          <w:rFonts w:ascii="David" w:hAnsi="David"/>
          <w:rtl/>
        </w:rPr>
        <w:tab/>
      </w:r>
      <w:r>
        <w:rPr>
          <w:rFonts w:ascii="David" w:hAnsi="David"/>
          <w:rtl/>
        </w:rPr>
        <w:tab/>
      </w:r>
      <w:r w:rsidR="005B152C">
        <w:rPr>
          <w:rFonts w:ascii="David" w:hAnsi="David"/>
          <w:b/>
          <w:bCs/>
          <w:rtl/>
        </w:rPr>
        <w:t xml:space="preserve">"בשם מרשי מר </w:t>
      </w:r>
      <w:r w:rsidR="000F5BF7">
        <w:rPr>
          <w:rFonts w:ascii="David" w:hAnsi="David"/>
          <w:b/>
          <w:bCs/>
          <w:rtl/>
        </w:rPr>
        <w:t>ו'</w:t>
      </w:r>
      <w:r>
        <w:rPr>
          <w:rFonts w:ascii="David" w:hAnsi="David"/>
          <w:b/>
          <w:bCs/>
          <w:rtl/>
        </w:rPr>
        <w:t>... אני פונה לכבודכם כדלקמן:</w:t>
      </w:r>
    </w:p>
    <w:p w:rsidR="00457B60" w:rsidRDefault="00457B60" w:rsidP="00457B60">
      <w:pPr>
        <w:pStyle w:val="af2"/>
        <w:numPr>
          <w:ilvl w:val="0"/>
          <w:numId w:val="2"/>
        </w:numPr>
        <w:spacing w:after="120" w:line="360" w:lineRule="auto"/>
        <w:ind w:right="567"/>
        <w:jc w:val="both"/>
        <w:rPr>
          <w:rFonts w:ascii="David" w:hAnsi="David" w:cs="David"/>
          <w:b/>
          <w:bCs/>
          <w:sz w:val="24"/>
          <w:szCs w:val="24"/>
          <w:rtl/>
        </w:rPr>
      </w:pPr>
      <w:r>
        <w:rPr>
          <w:rFonts w:ascii="David" w:hAnsi="David" w:cs="David"/>
          <w:b/>
          <w:bCs/>
          <w:sz w:val="24"/>
          <w:szCs w:val="24"/>
          <w:rtl/>
        </w:rPr>
        <w:t>כי בתאריך 26/8/01 מרשי פנה לכבודכם בכתב, בהיותכם בוררים בסכסוך שבין מרשי לבין אחיו, ובקשכם לספק מידע ומסמכים אודות עבודתכם כבוררים (מצ"ב העתק ממכתב מרשי אליכם מיום 26/8/01).</w:t>
      </w:r>
    </w:p>
    <w:p w:rsidR="00457B60" w:rsidRDefault="00457B60" w:rsidP="00457B60">
      <w:pPr>
        <w:pStyle w:val="af2"/>
        <w:numPr>
          <w:ilvl w:val="0"/>
          <w:numId w:val="2"/>
        </w:numPr>
        <w:spacing w:after="120" w:line="360" w:lineRule="auto"/>
        <w:ind w:right="567"/>
        <w:jc w:val="both"/>
        <w:rPr>
          <w:rFonts w:ascii="David" w:hAnsi="David" w:cs="David"/>
          <w:b/>
          <w:bCs/>
          <w:sz w:val="24"/>
          <w:szCs w:val="24"/>
        </w:rPr>
      </w:pPr>
      <w:r>
        <w:rPr>
          <w:rFonts w:ascii="David" w:hAnsi="David" w:cs="David"/>
          <w:b/>
          <w:bCs/>
          <w:sz w:val="24"/>
          <w:szCs w:val="24"/>
          <w:rtl/>
        </w:rPr>
        <w:t>למרבית הצער פניית מרשי אליכם לא זכתה להתייחסות כלשהי</w:t>
      </w:r>
      <w:r>
        <w:rPr>
          <w:rFonts w:ascii="David" w:hAnsi="David" w:cs="David"/>
          <w:sz w:val="24"/>
          <w:szCs w:val="24"/>
          <w:rtl/>
        </w:rPr>
        <w:t xml:space="preserve"> </w:t>
      </w:r>
      <w:r>
        <w:rPr>
          <w:rFonts w:ascii="David" w:hAnsi="David" w:cs="David"/>
          <w:b/>
          <w:bCs/>
          <w:sz w:val="24"/>
          <w:szCs w:val="24"/>
          <w:rtl/>
        </w:rPr>
        <w:t xml:space="preserve">מטעמכם. </w:t>
      </w:r>
    </w:p>
    <w:p w:rsidR="00457B60" w:rsidRDefault="00457B60" w:rsidP="00457B60">
      <w:pPr>
        <w:pStyle w:val="af2"/>
        <w:numPr>
          <w:ilvl w:val="0"/>
          <w:numId w:val="2"/>
        </w:numPr>
        <w:spacing w:after="120" w:line="360" w:lineRule="auto"/>
        <w:ind w:right="567"/>
        <w:jc w:val="both"/>
        <w:rPr>
          <w:rFonts w:ascii="David" w:hAnsi="David" w:cs="David"/>
          <w:b/>
          <w:bCs/>
          <w:sz w:val="24"/>
          <w:szCs w:val="24"/>
        </w:rPr>
      </w:pPr>
      <w:r>
        <w:rPr>
          <w:rFonts w:ascii="David" w:hAnsi="David" w:cs="David"/>
          <w:b/>
          <w:bCs/>
          <w:sz w:val="24"/>
          <w:szCs w:val="24"/>
          <w:rtl/>
        </w:rPr>
        <w:t xml:space="preserve">אבקשכם להתייחס לפניית מרשי הנ"ל בכתב ובהקדם על מנת לדעת איך לייעץ למרשי </w:t>
      </w:r>
      <w:proofErr w:type="spellStart"/>
      <w:r>
        <w:rPr>
          <w:rFonts w:ascii="David" w:hAnsi="David" w:cs="David"/>
          <w:b/>
          <w:bCs/>
          <w:sz w:val="24"/>
          <w:szCs w:val="24"/>
          <w:rtl/>
        </w:rPr>
        <w:t>בענין</w:t>
      </w:r>
      <w:proofErr w:type="spellEnd"/>
      <w:r>
        <w:rPr>
          <w:rFonts w:ascii="David" w:hAnsi="David" w:cs="David"/>
          <w:b/>
          <w:bCs/>
          <w:sz w:val="24"/>
          <w:szCs w:val="24"/>
          <w:rtl/>
        </w:rPr>
        <w:t xml:space="preserve"> פתרון הסכסוך לבין אחיו".</w:t>
      </w:r>
    </w:p>
    <w:p w:rsidR="00457B60" w:rsidRDefault="00457B60" w:rsidP="00470A97">
      <w:pPr>
        <w:spacing w:after="120" w:line="360" w:lineRule="auto"/>
        <w:ind w:left="1440" w:hanging="720"/>
        <w:jc w:val="both"/>
        <w:rPr>
          <w:rFonts w:ascii="David" w:hAnsi="David"/>
          <w:b/>
          <w:bCs/>
        </w:rPr>
      </w:pPr>
      <w:r>
        <w:rPr>
          <w:rFonts w:ascii="David" w:hAnsi="David"/>
          <w:rtl/>
        </w:rPr>
        <w:t>ב.</w:t>
      </w:r>
      <w:r>
        <w:rPr>
          <w:rFonts w:ascii="David" w:hAnsi="David"/>
          <w:rtl/>
        </w:rPr>
        <w:tab/>
        <w:t xml:space="preserve">מכתבו של </w:t>
      </w:r>
      <w:r w:rsidR="00470A97">
        <w:rPr>
          <w:rFonts w:ascii="David" w:hAnsi="David" w:hint="cs"/>
          <w:rtl/>
        </w:rPr>
        <w:t>ו'</w:t>
      </w:r>
      <w:r>
        <w:rPr>
          <w:rFonts w:ascii="David" w:hAnsi="David"/>
          <w:rtl/>
        </w:rPr>
        <w:t xml:space="preserve"> לבוררים הנ"ל מיום 26.8.01 בו ציין כי </w:t>
      </w:r>
      <w:r>
        <w:rPr>
          <w:rFonts w:ascii="David" w:hAnsi="David"/>
          <w:b/>
          <w:bCs/>
          <w:rtl/>
        </w:rPr>
        <w:t>"בתאריך 26/7/96 נחתם ביני לבין אחיי... חוזה בוררות אשר לפיו מינינו שלושתנו את כב' להיות בוררים בענין חלוקת ירושת המנוחים... לרבות זכ</w:t>
      </w:r>
      <w:r w:rsidR="00470A97">
        <w:rPr>
          <w:rFonts w:ascii="David" w:hAnsi="David"/>
          <w:b/>
          <w:bCs/>
          <w:rtl/>
        </w:rPr>
        <w:t>ויות בקרקעות שנרכשו מהמנוחה ח</w:t>
      </w:r>
      <w:r w:rsidR="00470A97">
        <w:rPr>
          <w:rFonts w:ascii="David" w:hAnsi="David" w:hint="cs"/>
          <w:b/>
          <w:bCs/>
          <w:rtl/>
        </w:rPr>
        <w:t xml:space="preserve">' </w:t>
      </w:r>
      <w:r>
        <w:rPr>
          <w:rFonts w:ascii="David" w:hAnsi="David"/>
          <w:b/>
          <w:bCs/>
          <w:rtl/>
        </w:rPr>
        <w:t>ז"ל...".</w:t>
      </w:r>
    </w:p>
    <w:p w:rsidR="00457B60" w:rsidRDefault="00457B60" w:rsidP="00457B60">
      <w:pPr>
        <w:spacing w:after="120" w:line="360" w:lineRule="auto"/>
        <w:ind w:left="1440" w:hanging="720"/>
        <w:jc w:val="both"/>
        <w:rPr>
          <w:rFonts w:ascii="David" w:hAnsi="David"/>
          <w:rtl/>
        </w:rPr>
      </w:pPr>
      <w:r>
        <w:rPr>
          <w:rFonts w:ascii="David" w:hAnsi="David"/>
          <w:b/>
          <w:bCs/>
          <w:rtl/>
        </w:rPr>
        <w:tab/>
      </w:r>
      <w:r>
        <w:rPr>
          <w:rFonts w:ascii="David" w:hAnsi="David"/>
          <w:rtl/>
        </w:rPr>
        <w:t xml:space="preserve">במכתבו זה הלין </w:t>
      </w:r>
      <w:r w:rsidR="000F5BF7">
        <w:rPr>
          <w:rFonts w:ascii="David" w:hAnsi="David"/>
          <w:rtl/>
        </w:rPr>
        <w:t>ו'</w:t>
      </w:r>
      <w:r>
        <w:rPr>
          <w:rFonts w:ascii="David" w:hAnsi="David"/>
          <w:rtl/>
        </w:rPr>
        <w:t xml:space="preserve"> על הבוררים שטרם נתנו את פסק הבורר בנדון, והוא רוצה לדעת הסיבות לכך.</w:t>
      </w:r>
    </w:p>
    <w:p w:rsidR="00457B60" w:rsidRDefault="00457B60" w:rsidP="00457B60">
      <w:pPr>
        <w:spacing w:after="120" w:line="360" w:lineRule="auto"/>
        <w:ind w:right="567"/>
        <w:jc w:val="both"/>
        <w:rPr>
          <w:rFonts w:ascii="David" w:hAnsi="David"/>
          <w:rtl/>
        </w:rPr>
      </w:pPr>
      <w:r>
        <w:rPr>
          <w:rFonts w:ascii="David" w:hAnsi="David"/>
          <w:rtl/>
        </w:rPr>
        <w:t>46.</w:t>
      </w:r>
      <w:r>
        <w:rPr>
          <w:rFonts w:ascii="David" w:hAnsi="David"/>
          <w:rtl/>
        </w:rPr>
        <w:tab/>
      </w:r>
      <w:r>
        <w:rPr>
          <w:rFonts w:ascii="David" w:hAnsi="David"/>
          <w:u w:val="single"/>
          <w:rtl/>
        </w:rPr>
        <w:t xml:space="preserve">טוענים יורשי </w:t>
      </w:r>
      <w:r w:rsidR="000F5BF7">
        <w:rPr>
          <w:rFonts w:ascii="David" w:hAnsi="David"/>
          <w:u w:val="single"/>
          <w:rtl/>
        </w:rPr>
        <w:t>ס'</w:t>
      </w:r>
      <w:r>
        <w:rPr>
          <w:rFonts w:ascii="David" w:hAnsi="David"/>
          <w:u w:val="single"/>
          <w:rtl/>
        </w:rPr>
        <w:t xml:space="preserve"> בבקשתם הנדונה לצירוף המסמכים הנ"ל כראיה בערעור, כי</w:t>
      </w:r>
      <w:r>
        <w:rPr>
          <w:rFonts w:ascii="David" w:hAnsi="David"/>
          <w:rtl/>
        </w:rPr>
        <w:t>:</w:t>
      </w:r>
    </w:p>
    <w:p w:rsidR="00457B60" w:rsidRDefault="00457B60" w:rsidP="00470A97">
      <w:pPr>
        <w:spacing w:after="120" w:line="360" w:lineRule="auto"/>
        <w:jc w:val="both"/>
        <w:rPr>
          <w:rFonts w:ascii="David" w:hAnsi="David"/>
          <w:rtl/>
        </w:rPr>
      </w:pPr>
      <w:r>
        <w:rPr>
          <w:rFonts w:ascii="David" w:hAnsi="David"/>
          <w:rtl/>
        </w:rPr>
        <w:tab/>
        <w:t>א.</w:t>
      </w:r>
      <w:r>
        <w:rPr>
          <w:rFonts w:ascii="David" w:hAnsi="David"/>
          <w:rtl/>
        </w:rPr>
        <w:tab/>
        <w:t xml:space="preserve">ביום 18.6.2024 מצא אחד מיורשי </w:t>
      </w:r>
      <w:r w:rsidR="000F5BF7">
        <w:rPr>
          <w:rFonts w:ascii="David" w:hAnsi="David"/>
          <w:rtl/>
        </w:rPr>
        <w:t>ס'</w:t>
      </w:r>
      <w:r>
        <w:rPr>
          <w:rFonts w:ascii="David" w:hAnsi="David"/>
          <w:rtl/>
        </w:rPr>
        <w:t xml:space="preserve"> ז"ל (הבן </w:t>
      </w:r>
      <w:r w:rsidR="00470A97">
        <w:rPr>
          <w:rFonts w:ascii="David" w:hAnsi="David" w:hint="cs"/>
          <w:rtl/>
        </w:rPr>
        <w:t>ע'</w:t>
      </w:r>
      <w:r>
        <w:rPr>
          <w:rFonts w:ascii="David" w:hAnsi="David"/>
          <w:rtl/>
        </w:rPr>
        <w:t>) את המסמכים הנ"ל;</w:t>
      </w:r>
    </w:p>
    <w:p w:rsidR="00457B60" w:rsidRDefault="00457B60" w:rsidP="00457B60">
      <w:pPr>
        <w:spacing w:after="120" w:line="360" w:lineRule="auto"/>
        <w:ind w:left="1440" w:hanging="720"/>
        <w:jc w:val="both"/>
        <w:rPr>
          <w:rFonts w:ascii="David" w:hAnsi="David"/>
          <w:rtl/>
        </w:rPr>
      </w:pPr>
      <w:r>
        <w:rPr>
          <w:rFonts w:ascii="David" w:hAnsi="David"/>
          <w:rtl/>
        </w:rPr>
        <w:t>ב.</w:t>
      </w:r>
      <w:r>
        <w:rPr>
          <w:rFonts w:ascii="David" w:hAnsi="David"/>
          <w:rtl/>
        </w:rPr>
        <w:tab/>
        <w:t xml:space="preserve">אין הסבר מדוע </w:t>
      </w:r>
      <w:r w:rsidR="000F5BF7">
        <w:rPr>
          <w:rFonts w:ascii="David" w:hAnsi="David"/>
          <w:rtl/>
        </w:rPr>
        <w:t>ס'</w:t>
      </w:r>
      <w:r>
        <w:rPr>
          <w:rFonts w:ascii="David" w:hAnsi="David"/>
          <w:rtl/>
        </w:rPr>
        <w:t xml:space="preserve"> לא הגיש את המסמכים הנ"ל במהלך ניהול ההליך קמא (נזכיר כי </w:t>
      </w:r>
      <w:r w:rsidR="000F5BF7">
        <w:rPr>
          <w:rFonts w:ascii="David" w:hAnsi="David"/>
          <w:rtl/>
        </w:rPr>
        <w:t>ס'</w:t>
      </w:r>
      <w:r>
        <w:rPr>
          <w:rFonts w:ascii="David" w:hAnsi="David"/>
          <w:rtl/>
        </w:rPr>
        <w:t xml:space="preserve"> נפטר רק בשלב הסיכומים);</w:t>
      </w:r>
    </w:p>
    <w:p w:rsidR="00457B60" w:rsidRDefault="00457B60" w:rsidP="00457B60">
      <w:pPr>
        <w:spacing w:after="120" w:line="360" w:lineRule="auto"/>
        <w:ind w:left="1440" w:hanging="720"/>
        <w:jc w:val="both"/>
        <w:rPr>
          <w:rFonts w:ascii="David" w:hAnsi="David"/>
          <w:rtl/>
        </w:rPr>
      </w:pPr>
      <w:r>
        <w:rPr>
          <w:rFonts w:ascii="David" w:hAnsi="David"/>
          <w:rtl/>
        </w:rPr>
        <w:t>ג.</w:t>
      </w:r>
      <w:r>
        <w:rPr>
          <w:rFonts w:ascii="David" w:hAnsi="David"/>
          <w:rtl/>
        </w:rPr>
        <w:tab/>
        <w:t xml:space="preserve">המסמכים נמצאו אגב סידור מסמכי המנוח </w:t>
      </w:r>
      <w:r w:rsidR="000F5BF7">
        <w:rPr>
          <w:rFonts w:ascii="David" w:hAnsi="David"/>
          <w:rtl/>
        </w:rPr>
        <w:t>ס'</w:t>
      </w:r>
      <w:r>
        <w:rPr>
          <w:rFonts w:ascii="David" w:hAnsi="David"/>
          <w:rtl/>
        </w:rPr>
        <w:t xml:space="preserve"> לאחר פטירתו;</w:t>
      </w:r>
    </w:p>
    <w:p w:rsidR="00457B60" w:rsidRDefault="00457B60" w:rsidP="00457B60">
      <w:pPr>
        <w:spacing w:after="120" w:line="360" w:lineRule="auto"/>
        <w:ind w:left="1440" w:hanging="720"/>
        <w:jc w:val="both"/>
        <w:rPr>
          <w:rFonts w:ascii="David" w:hAnsi="David"/>
          <w:rtl/>
        </w:rPr>
      </w:pPr>
      <w:r>
        <w:rPr>
          <w:rFonts w:ascii="David" w:hAnsi="David"/>
          <w:rtl/>
        </w:rPr>
        <w:t>ד.</w:t>
      </w:r>
      <w:r>
        <w:rPr>
          <w:rFonts w:ascii="David" w:hAnsi="David"/>
          <w:rtl/>
        </w:rPr>
        <w:tab/>
        <w:t xml:space="preserve">הגם שהמסמכים היו בידיעתו וברשותו של </w:t>
      </w:r>
      <w:r w:rsidR="000F5BF7">
        <w:rPr>
          <w:rFonts w:ascii="David" w:hAnsi="David"/>
          <w:rtl/>
        </w:rPr>
        <w:t>ו'</w:t>
      </w:r>
      <w:r>
        <w:rPr>
          <w:rFonts w:ascii="David" w:hAnsi="David"/>
          <w:rtl/>
        </w:rPr>
        <w:t>, הוא הסתירם במשך כל ניהול ההליך קמא;</w:t>
      </w:r>
    </w:p>
    <w:p w:rsidR="00457B60" w:rsidRDefault="00457B60" w:rsidP="00457B60">
      <w:pPr>
        <w:spacing w:after="120" w:line="360" w:lineRule="auto"/>
        <w:ind w:left="1440" w:hanging="720"/>
        <w:jc w:val="both"/>
        <w:rPr>
          <w:rFonts w:ascii="David" w:hAnsi="David"/>
          <w:rtl/>
        </w:rPr>
      </w:pPr>
      <w:r>
        <w:rPr>
          <w:rFonts w:ascii="David" w:hAnsi="David"/>
          <w:rtl/>
        </w:rPr>
        <w:t>ה.</w:t>
      </w:r>
      <w:r>
        <w:rPr>
          <w:rFonts w:ascii="David" w:hAnsi="David"/>
          <w:rtl/>
        </w:rPr>
        <w:tab/>
      </w:r>
      <w:r>
        <w:rPr>
          <w:rFonts w:ascii="David" w:hAnsi="David"/>
          <w:u w:val="single"/>
          <w:rtl/>
        </w:rPr>
        <w:t>מסמכים אלה חשובים, שכן מלמדים על מספר עובדות מהותיות</w:t>
      </w:r>
      <w:r>
        <w:rPr>
          <w:rFonts w:ascii="David" w:hAnsi="David"/>
          <w:rtl/>
        </w:rPr>
        <w:t>:</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 xml:space="preserve">הטלת ספק במהימנות עדותו של </w:t>
      </w:r>
      <w:r w:rsidR="000F5BF7">
        <w:rPr>
          <w:rFonts w:ascii="David" w:hAnsi="David"/>
          <w:rtl/>
        </w:rPr>
        <w:t>ר'</w:t>
      </w:r>
      <w:r>
        <w:rPr>
          <w:rFonts w:ascii="David" w:hAnsi="David"/>
          <w:rtl/>
        </w:rPr>
        <w:t xml:space="preserve">, בה נתן בית משפט קמא אמון מלא (גם בשאלת מעורבותו, אם לאו, של </w:t>
      </w:r>
      <w:r w:rsidR="000F5BF7">
        <w:rPr>
          <w:rFonts w:ascii="David" w:hAnsi="David"/>
          <w:rtl/>
        </w:rPr>
        <w:t>ו'</w:t>
      </w:r>
      <w:r>
        <w:rPr>
          <w:rFonts w:ascii="David" w:hAnsi="David"/>
          <w:rtl/>
        </w:rPr>
        <w:t xml:space="preserve"> בעריכת הצוואה), כשלא סיפר כי ייצג את </w:t>
      </w:r>
      <w:r w:rsidR="000F5BF7">
        <w:rPr>
          <w:rFonts w:ascii="David" w:hAnsi="David"/>
          <w:rtl/>
        </w:rPr>
        <w:t>ו'</w:t>
      </w:r>
      <w:r>
        <w:rPr>
          <w:rFonts w:ascii="David" w:hAnsi="David"/>
          <w:rtl/>
        </w:rPr>
        <w:t xml:space="preserve"> בסכסוך האחים בנוגע לעזבון המנוח. לכן לכאורה אינו משמש כעד אובייקטיבי, שכן הוא מוטה ויש לו ענין מובהק בתוצאות ההליך דנן.</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r>
      <w:r w:rsidR="000F5BF7">
        <w:rPr>
          <w:rFonts w:ascii="David" w:hAnsi="David"/>
          <w:rtl/>
        </w:rPr>
        <w:t>ר'</w:t>
      </w:r>
      <w:r>
        <w:rPr>
          <w:rFonts w:ascii="David" w:hAnsi="David"/>
          <w:rtl/>
        </w:rPr>
        <w:t xml:space="preserve"> עצמו ידע כי אין תוקף לצוואה שבמחלוקת גם בשנת 2002, כ-20 שנה לערך שערך את אותה צוואה. אחרת איזה צורך יש לו ביעוץ ל</w:t>
      </w:r>
      <w:r w:rsidR="000F5BF7">
        <w:rPr>
          <w:rFonts w:ascii="David" w:hAnsi="David"/>
          <w:rtl/>
        </w:rPr>
        <w:t>ו'</w:t>
      </w:r>
      <w:r>
        <w:rPr>
          <w:rFonts w:ascii="David" w:hAnsi="David"/>
          <w:rtl/>
        </w:rPr>
        <w:t xml:space="preserve"> בעניין חלוקת עזבון המנוח (כרשום במכתבו הנ"ל), אם לכאורה קיימת צוואה בה הזוכה היחיד הוא </w:t>
      </w:r>
      <w:r w:rsidR="000F5BF7">
        <w:rPr>
          <w:rFonts w:ascii="David" w:hAnsi="David"/>
          <w:rtl/>
        </w:rPr>
        <w:t>ו'</w:t>
      </w:r>
      <w:r>
        <w:rPr>
          <w:rFonts w:ascii="David" w:hAnsi="David"/>
          <w:rtl/>
        </w:rPr>
        <w:t xml:space="preserve">. </w:t>
      </w:r>
      <w:r>
        <w:rPr>
          <w:rFonts w:ascii="David" w:hAnsi="David"/>
          <w:rtl/>
        </w:rPr>
        <w:tab/>
      </w:r>
    </w:p>
    <w:p w:rsidR="00457B60" w:rsidRDefault="00457B60" w:rsidP="00457B60">
      <w:pPr>
        <w:spacing w:after="120" w:line="360" w:lineRule="auto"/>
        <w:ind w:left="1440" w:hanging="720"/>
        <w:jc w:val="both"/>
        <w:rPr>
          <w:rFonts w:ascii="David" w:hAnsi="David"/>
          <w:rtl/>
        </w:rPr>
      </w:pPr>
      <w:r>
        <w:rPr>
          <w:rFonts w:ascii="David" w:hAnsi="David"/>
          <w:rtl/>
        </w:rPr>
        <w:t>ו.</w:t>
      </w:r>
      <w:r>
        <w:rPr>
          <w:rFonts w:ascii="David" w:hAnsi="David"/>
          <w:rtl/>
        </w:rPr>
        <w:tab/>
        <w:t xml:space="preserve">הם, יורשי </w:t>
      </w:r>
      <w:r w:rsidR="000F5BF7">
        <w:rPr>
          <w:rFonts w:ascii="David" w:hAnsi="David"/>
          <w:rtl/>
        </w:rPr>
        <w:t>ס'</w:t>
      </w:r>
      <w:r>
        <w:rPr>
          <w:rFonts w:ascii="David" w:hAnsi="David"/>
          <w:rtl/>
        </w:rPr>
        <w:t xml:space="preserve"> ז"ל, לא ידעו על הראיות הנוספות קודם לכן, והגישו הבקשה מיד לאחר שמצאו את המסמכים</w:t>
      </w:r>
      <w:r w:rsidR="00470A97">
        <w:rPr>
          <w:rFonts w:ascii="David" w:hAnsi="David"/>
          <w:rtl/>
        </w:rPr>
        <w:t xml:space="preserve"> הנ"ל (צורף לבקשה תצהירו של </w:t>
      </w:r>
      <w:r w:rsidR="00470A97">
        <w:rPr>
          <w:rFonts w:ascii="David" w:hAnsi="David" w:hint="cs"/>
          <w:rtl/>
        </w:rPr>
        <w:t>הבן ע'</w:t>
      </w:r>
      <w:r>
        <w:rPr>
          <w:rFonts w:ascii="David" w:hAnsi="David"/>
          <w:rtl/>
        </w:rPr>
        <w:t xml:space="preserve"> התומך בבקשה). </w:t>
      </w:r>
    </w:p>
    <w:p w:rsidR="00457B60" w:rsidRDefault="00457B60" w:rsidP="00457B60">
      <w:pPr>
        <w:spacing w:after="120" w:line="360" w:lineRule="auto"/>
        <w:ind w:left="720" w:hanging="720"/>
        <w:jc w:val="both"/>
        <w:rPr>
          <w:rFonts w:ascii="David" w:hAnsi="David"/>
          <w:rtl/>
        </w:rPr>
      </w:pPr>
      <w:r>
        <w:rPr>
          <w:rFonts w:ascii="David" w:hAnsi="David"/>
          <w:rtl/>
        </w:rPr>
        <w:lastRenderedPageBreak/>
        <w:t>47.</w:t>
      </w:r>
      <w:r>
        <w:rPr>
          <w:rFonts w:ascii="David" w:hAnsi="David"/>
          <w:rtl/>
        </w:rPr>
        <w:tab/>
        <w:t xml:space="preserve">בישיבת הערעור בתאריך 24.6.2024 ציין בא כוחם של יורשי </w:t>
      </w:r>
      <w:r w:rsidR="000F5BF7">
        <w:rPr>
          <w:rFonts w:ascii="David" w:hAnsi="David"/>
          <w:rtl/>
        </w:rPr>
        <w:t>ס'</w:t>
      </w:r>
      <w:r>
        <w:rPr>
          <w:rFonts w:ascii="David" w:hAnsi="David"/>
          <w:rtl/>
        </w:rPr>
        <w:t xml:space="preserve"> ז"ל, כי אם הבקשה לראיות נוספות תתקבל, יהיה צורך להשיב התיק לבית משפט קמא, כדי שיחליט אם יש מקום להעיד את </w:t>
      </w:r>
      <w:r w:rsidR="000F5BF7">
        <w:rPr>
          <w:rFonts w:ascii="David" w:hAnsi="David"/>
          <w:rtl/>
        </w:rPr>
        <w:t>ר'</w:t>
      </w:r>
      <w:r>
        <w:rPr>
          <w:rFonts w:ascii="David" w:hAnsi="David"/>
          <w:rtl/>
        </w:rPr>
        <w:t xml:space="preserve"> בשנית בנקודה זאת (עמ' 5 לפרו' שו' 4).</w:t>
      </w:r>
    </w:p>
    <w:p w:rsidR="00457B60" w:rsidRDefault="00457B60" w:rsidP="00457B60">
      <w:pPr>
        <w:spacing w:after="120" w:line="360" w:lineRule="auto"/>
        <w:ind w:left="720" w:hanging="720"/>
        <w:jc w:val="both"/>
        <w:rPr>
          <w:rFonts w:ascii="David" w:hAnsi="David"/>
          <w:rtl/>
        </w:rPr>
      </w:pPr>
      <w:r>
        <w:rPr>
          <w:rFonts w:ascii="David" w:hAnsi="David"/>
          <w:rtl/>
        </w:rPr>
        <w:t>48.</w:t>
      </w:r>
      <w:r>
        <w:rPr>
          <w:rFonts w:ascii="David" w:hAnsi="David"/>
          <w:rtl/>
        </w:rPr>
        <w:tab/>
        <w:t xml:space="preserve">בא כוחו של </w:t>
      </w:r>
      <w:r w:rsidR="000F5BF7">
        <w:rPr>
          <w:rFonts w:ascii="David" w:hAnsi="David"/>
          <w:rtl/>
        </w:rPr>
        <w:t>ו'</w:t>
      </w:r>
      <w:r>
        <w:rPr>
          <w:rFonts w:ascii="David" w:hAnsi="David"/>
          <w:rtl/>
        </w:rPr>
        <w:t xml:space="preserve"> טען בישיבת הערעור לדחיית הבקשה לראיות נוספות. לטענתו הבקשה לא עומדת בדרישת תקנה 144 לתקנות סדר הדין האזרחי, תשע"ט-2018 (להלן: </w:t>
      </w:r>
      <w:r>
        <w:rPr>
          <w:rFonts w:ascii="David" w:hAnsi="David"/>
          <w:b/>
          <w:bCs/>
          <w:rtl/>
        </w:rPr>
        <w:t>"התקנות"</w:t>
      </w:r>
      <w:r>
        <w:rPr>
          <w:rFonts w:ascii="David" w:hAnsi="David"/>
          <w:rtl/>
        </w:rPr>
        <w:t xml:space="preserve">), וכל מטרתה לפגוע באמינות העד </w:t>
      </w:r>
      <w:r w:rsidR="000F5BF7">
        <w:rPr>
          <w:rFonts w:ascii="David" w:hAnsi="David"/>
          <w:rtl/>
        </w:rPr>
        <w:t>ר'</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t>לטעמו אין בראיות הנוספות כדי ללמד כי הצוואה שבמחלוקת מזויפת או פסולה. לטעמו כל שמופיע בראיות הנוספות, זה בקשה לדעת מה קורה עם הבוררות בנדון (עמ' 6 לפרו' שו' 32-36).</w:t>
      </w:r>
    </w:p>
    <w:p w:rsidR="00457B60" w:rsidRDefault="00457B60" w:rsidP="00457B60">
      <w:pPr>
        <w:spacing w:after="120" w:line="360" w:lineRule="auto"/>
        <w:ind w:left="720" w:hanging="720"/>
        <w:jc w:val="both"/>
        <w:rPr>
          <w:rFonts w:ascii="David" w:hAnsi="David"/>
          <w:b/>
          <w:bCs/>
          <w:rtl/>
        </w:rPr>
      </w:pPr>
      <w:r>
        <w:rPr>
          <w:rFonts w:ascii="David" w:hAnsi="David"/>
          <w:rtl/>
        </w:rPr>
        <w:t>49.</w:t>
      </w:r>
      <w:r>
        <w:rPr>
          <w:rFonts w:ascii="David" w:hAnsi="David"/>
          <w:rtl/>
        </w:rPr>
        <w:tab/>
      </w:r>
      <w:r>
        <w:rPr>
          <w:rFonts w:ascii="David" w:hAnsi="David"/>
          <w:u w:val="single"/>
          <w:rtl/>
        </w:rPr>
        <w:t>תקנה 144 לתקנות קובעת לענין ראיות חדשות בערעור, כדלקמן</w:t>
      </w:r>
      <w:r>
        <w:rPr>
          <w:rFonts w:ascii="David" w:hAnsi="David"/>
          <w:rtl/>
        </w:rPr>
        <w:t>:</w:t>
      </w:r>
      <w:r>
        <w:rPr>
          <w:rFonts w:ascii="David" w:hAnsi="David"/>
          <w:rtl/>
        </w:rPr>
        <w:tab/>
      </w:r>
      <w:r>
        <w:rPr>
          <w:rFonts w:ascii="David" w:hAnsi="David"/>
          <w:b/>
          <w:bCs/>
          <w:rtl/>
        </w:rPr>
        <w:tab/>
      </w:r>
    </w:p>
    <w:p w:rsidR="00457B60" w:rsidRDefault="00457B60" w:rsidP="00457B60">
      <w:pPr>
        <w:spacing w:after="120" w:line="360" w:lineRule="auto"/>
        <w:ind w:left="720" w:right="709" w:hanging="720"/>
        <w:jc w:val="both"/>
        <w:rPr>
          <w:rFonts w:ascii="David" w:hAnsi="David"/>
          <w:b/>
          <w:bCs/>
          <w:rtl/>
        </w:rPr>
      </w:pPr>
      <w:r>
        <w:rPr>
          <w:rFonts w:ascii="David" w:hAnsi="David"/>
          <w:b/>
          <w:bCs/>
          <w:rtl/>
        </w:rPr>
        <w:tab/>
        <w:t>"בעל דין אינו רשאי להגיש ראיות חדשות לבית המשפט שלערעור; ואולם בית המשפט רשאי להתיר הגשת ראיות חדשות אם שוכנע שהן עשויות להשפיע על תוצאות הערעור וכן שמתקיים אחד מאלה:</w:t>
      </w:r>
    </w:p>
    <w:p w:rsidR="00457B60" w:rsidRDefault="00457B60" w:rsidP="00457B60">
      <w:pPr>
        <w:spacing w:after="120" w:line="360" w:lineRule="auto"/>
        <w:ind w:left="1440" w:right="709" w:hanging="720"/>
        <w:jc w:val="both"/>
        <w:rPr>
          <w:rFonts w:ascii="David" w:hAnsi="David"/>
          <w:b/>
          <w:bCs/>
          <w:rtl/>
        </w:rPr>
      </w:pPr>
      <w:r>
        <w:rPr>
          <w:rFonts w:ascii="David" w:hAnsi="David"/>
          <w:b/>
          <w:bCs/>
          <w:rtl/>
        </w:rPr>
        <w:t>(1)</w:t>
      </w:r>
      <w:r>
        <w:rPr>
          <w:rFonts w:ascii="David" w:hAnsi="David"/>
          <w:b/>
          <w:bCs/>
          <w:rtl/>
        </w:rPr>
        <w:tab/>
        <w:t>לא היה ניתן לאתר את הראיה בשקידה סבירה ולהגישה בערכאה הראשונה במועד המתאים לכך;</w:t>
      </w:r>
    </w:p>
    <w:p w:rsidR="00457B60" w:rsidRDefault="00457B60" w:rsidP="00457B60">
      <w:pPr>
        <w:spacing w:after="120" w:line="360" w:lineRule="auto"/>
        <w:ind w:left="720" w:right="709"/>
        <w:jc w:val="both"/>
        <w:rPr>
          <w:rFonts w:ascii="David" w:hAnsi="David"/>
          <w:b/>
          <w:bCs/>
          <w:rtl/>
        </w:rPr>
      </w:pPr>
      <w:r>
        <w:rPr>
          <w:rFonts w:ascii="David" w:hAnsi="David"/>
          <w:b/>
          <w:bCs/>
          <w:rtl/>
        </w:rPr>
        <w:t>(2)</w:t>
      </w:r>
      <w:r>
        <w:rPr>
          <w:rFonts w:ascii="David" w:hAnsi="David"/>
          <w:b/>
          <w:bCs/>
          <w:rtl/>
        </w:rPr>
        <w:tab/>
        <w:t>הגשת הראיה דרושה כדי למנוע עיוות דין".</w:t>
      </w:r>
    </w:p>
    <w:p w:rsidR="00457B60" w:rsidRDefault="00457B60" w:rsidP="00457B60">
      <w:pPr>
        <w:spacing w:after="120" w:line="360" w:lineRule="auto"/>
        <w:ind w:left="720"/>
        <w:jc w:val="both"/>
        <w:rPr>
          <w:rFonts w:ascii="David" w:hAnsi="David"/>
          <w:rtl/>
        </w:rPr>
      </w:pPr>
      <w:r>
        <w:rPr>
          <w:rFonts w:ascii="David" w:hAnsi="David"/>
          <w:rtl/>
        </w:rPr>
        <w:t xml:space="preserve">התנאי הבסיסי הוא – אם הראיות החדשות עשויות להשפיע על תוצאות הערעור (להלן: </w:t>
      </w:r>
      <w:r>
        <w:rPr>
          <w:rFonts w:ascii="David" w:hAnsi="David"/>
          <w:b/>
          <w:bCs/>
          <w:rtl/>
        </w:rPr>
        <w:t>"התנאי הבסיסי"</w:t>
      </w:r>
      <w:r>
        <w:rPr>
          <w:rFonts w:ascii="David" w:hAnsi="David"/>
          <w:rtl/>
        </w:rPr>
        <w:t>).</w:t>
      </w:r>
    </w:p>
    <w:p w:rsidR="00A0376F" w:rsidRDefault="00457B60" w:rsidP="00470A97">
      <w:pPr>
        <w:spacing w:after="120" w:line="360" w:lineRule="auto"/>
        <w:ind w:left="720"/>
        <w:jc w:val="both"/>
        <w:rPr>
          <w:rFonts w:ascii="David" w:hAnsi="David"/>
          <w:rtl/>
        </w:rPr>
      </w:pPr>
      <w:r>
        <w:rPr>
          <w:rFonts w:ascii="David" w:hAnsi="David"/>
          <w:rtl/>
        </w:rPr>
        <w:t xml:space="preserve">מעבר לכך יש צורך בהתמלאות אחד משני התנאים הנוספים שפורטו בתקנה, וסמנו בס"ק 1 ו-2 (להלן: </w:t>
      </w:r>
      <w:r>
        <w:rPr>
          <w:rFonts w:ascii="David" w:hAnsi="David"/>
          <w:b/>
          <w:bCs/>
          <w:rtl/>
        </w:rPr>
        <w:t>"התנאים הנוספים"</w:t>
      </w:r>
      <w:r>
        <w:rPr>
          <w:rFonts w:ascii="David" w:hAnsi="David"/>
          <w:rtl/>
        </w:rPr>
        <w:t>).</w:t>
      </w:r>
    </w:p>
    <w:p w:rsidR="00457B60" w:rsidRDefault="00457B60" w:rsidP="00457B60">
      <w:pPr>
        <w:spacing w:after="120" w:line="360" w:lineRule="auto"/>
        <w:jc w:val="both"/>
        <w:rPr>
          <w:rFonts w:ascii="David" w:hAnsi="David"/>
          <w:rtl/>
        </w:rPr>
      </w:pPr>
      <w:r>
        <w:rPr>
          <w:rFonts w:ascii="David" w:hAnsi="David"/>
          <w:rtl/>
        </w:rPr>
        <w:t>50.</w:t>
      </w:r>
      <w:r>
        <w:rPr>
          <w:rFonts w:ascii="David" w:hAnsi="David"/>
          <w:rtl/>
        </w:rPr>
        <w:tab/>
        <w:t>נבחן את מצב הדברים במקרה דנן.</w:t>
      </w:r>
    </w:p>
    <w:p w:rsidR="00457B60" w:rsidRDefault="00457B60" w:rsidP="00457B60">
      <w:pPr>
        <w:spacing w:after="120" w:line="360" w:lineRule="auto"/>
        <w:ind w:firstLine="720"/>
        <w:jc w:val="both"/>
        <w:rPr>
          <w:rFonts w:ascii="David" w:hAnsi="David"/>
          <w:rtl/>
        </w:rPr>
      </w:pPr>
      <w:r>
        <w:rPr>
          <w:rFonts w:ascii="David" w:hAnsi="David"/>
          <w:u w:val="single"/>
          <w:rtl/>
        </w:rPr>
        <w:t xml:space="preserve">באשר </w:t>
      </w:r>
      <w:r>
        <w:rPr>
          <w:rFonts w:ascii="David" w:hAnsi="David"/>
          <w:b/>
          <w:bCs/>
          <w:u w:val="single"/>
          <w:rtl/>
        </w:rPr>
        <w:t>לתנאי הבסיסי</w:t>
      </w:r>
      <w:r>
        <w:rPr>
          <w:rFonts w:ascii="David" w:hAnsi="David"/>
          <w:rtl/>
        </w:rPr>
        <w:t xml:space="preserve"> – שוכנעתי כי התקיים בנסיבות דנן.</w:t>
      </w:r>
    </w:p>
    <w:p w:rsidR="00457B60" w:rsidRDefault="000F5BF7" w:rsidP="00457B60">
      <w:pPr>
        <w:spacing w:after="120" w:line="360" w:lineRule="auto"/>
        <w:ind w:left="720" w:hanging="13"/>
        <w:jc w:val="both"/>
        <w:rPr>
          <w:rFonts w:ascii="David" w:hAnsi="David"/>
          <w:rtl/>
        </w:rPr>
      </w:pPr>
      <w:r>
        <w:rPr>
          <w:rFonts w:ascii="David" w:hAnsi="David"/>
          <w:rtl/>
        </w:rPr>
        <w:t>ר'</w:t>
      </w:r>
      <w:r w:rsidR="00457B60">
        <w:rPr>
          <w:rFonts w:ascii="David" w:hAnsi="David"/>
          <w:rtl/>
        </w:rPr>
        <w:t xml:space="preserve"> זכה </w:t>
      </w:r>
      <w:r w:rsidR="00457B60">
        <w:rPr>
          <w:rFonts w:ascii="David" w:hAnsi="David"/>
          <w:b/>
          <w:bCs/>
          <w:rtl/>
        </w:rPr>
        <w:t>לאמון מלא</w:t>
      </w:r>
      <w:r w:rsidR="00457B60">
        <w:rPr>
          <w:rFonts w:ascii="David" w:hAnsi="David"/>
          <w:rtl/>
        </w:rPr>
        <w:t xml:space="preserve"> מצד השופטת קמא בעדותו על נסיבות עריכת שלוש הצוואות ואי מעורבותו של </w:t>
      </w:r>
      <w:r>
        <w:rPr>
          <w:rFonts w:ascii="David" w:hAnsi="David"/>
          <w:rtl/>
        </w:rPr>
        <w:t>ו'</w:t>
      </w:r>
      <w:r w:rsidR="00457B60">
        <w:rPr>
          <w:rFonts w:ascii="David" w:hAnsi="David"/>
          <w:rtl/>
        </w:rPr>
        <w:t xml:space="preserve"> בעריכתן (ראו למשל סעיפים 106 ו-126 לפסק הדין).</w:t>
      </w:r>
    </w:p>
    <w:p w:rsidR="00457B60" w:rsidRDefault="00457B60" w:rsidP="00457B60">
      <w:pPr>
        <w:spacing w:after="120" w:line="360" w:lineRule="auto"/>
        <w:ind w:left="720"/>
        <w:jc w:val="both"/>
        <w:rPr>
          <w:rFonts w:ascii="David" w:hAnsi="David"/>
          <w:rtl/>
        </w:rPr>
      </w:pPr>
      <w:r>
        <w:rPr>
          <w:rFonts w:ascii="David" w:hAnsi="David"/>
          <w:rtl/>
        </w:rPr>
        <w:t>במיוחד נכון הדבר לגבי הצוואה שבמחלוקת, ל</w:t>
      </w:r>
      <w:r w:rsidR="005B152C">
        <w:rPr>
          <w:rFonts w:ascii="David" w:hAnsi="David"/>
          <w:rtl/>
        </w:rPr>
        <w:t>גביה עד קיום אחד נפטר (ו</w:t>
      </w:r>
      <w:r w:rsidR="005B152C">
        <w:rPr>
          <w:rFonts w:ascii="David" w:hAnsi="David" w:hint="cs"/>
          <w:rtl/>
        </w:rPr>
        <w:t>. ע</w:t>
      </w:r>
      <w:r>
        <w:rPr>
          <w:rFonts w:ascii="David" w:hAnsi="David"/>
          <w:rtl/>
        </w:rPr>
        <w:t xml:space="preserve">) ועדותו של עד קיום נטען שני (העד מתא) לא זכתה לאמון בית המשפט. </w:t>
      </w:r>
    </w:p>
    <w:p w:rsidR="00457B60" w:rsidRDefault="00457B60" w:rsidP="00457B60">
      <w:pPr>
        <w:spacing w:after="120" w:line="360" w:lineRule="auto"/>
        <w:ind w:left="720"/>
        <w:jc w:val="both"/>
        <w:rPr>
          <w:rFonts w:ascii="David" w:hAnsi="David"/>
          <w:rtl/>
        </w:rPr>
      </w:pPr>
      <w:r>
        <w:rPr>
          <w:rFonts w:ascii="David" w:hAnsi="David"/>
          <w:rtl/>
        </w:rPr>
        <w:t xml:space="preserve">כך נותרנו למעשה בכל הקשור לצוואה שבמחלוקת (נסיבות עריכתה ואי מעורבותו של </w:t>
      </w:r>
      <w:r w:rsidR="000F5BF7">
        <w:rPr>
          <w:rFonts w:ascii="David" w:hAnsi="David"/>
          <w:rtl/>
        </w:rPr>
        <w:t>ו'</w:t>
      </w:r>
      <w:r>
        <w:rPr>
          <w:rFonts w:ascii="David" w:hAnsi="David"/>
          <w:rtl/>
        </w:rPr>
        <w:t xml:space="preserve"> בעריכתה) עם עדותו של </w:t>
      </w:r>
      <w:r w:rsidR="000F5BF7">
        <w:rPr>
          <w:rFonts w:ascii="David" w:hAnsi="David"/>
          <w:rtl/>
        </w:rPr>
        <w:t>ר'</w:t>
      </w:r>
      <w:r>
        <w:rPr>
          <w:rFonts w:ascii="David" w:hAnsi="David"/>
          <w:rtl/>
        </w:rPr>
        <w:t xml:space="preserve"> לבדה, כעד ניטרלי לכאורה. </w:t>
      </w:r>
    </w:p>
    <w:p w:rsidR="00457B60" w:rsidRDefault="00457B60" w:rsidP="00457B60">
      <w:pPr>
        <w:spacing w:after="120" w:line="360" w:lineRule="auto"/>
        <w:ind w:left="720"/>
        <w:jc w:val="both"/>
        <w:rPr>
          <w:rFonts w:ascii="David" w:hAnsi="David"/>
          <w:rtl/>
        </w:rPr>
      </w:pPr>
      <w:r>
        <w:rPr>
          <w:rFonts w:ascii="David" w:hAnsi="David"/>
          <w:rtl/>
        </w:rPr>
        <w:t xml:space="preserve">דא עקא – נשאל </w:t>
      </w:r>
      <w:r w:rsidR="000F5BF7">
        <w:rPr>
          <w:rFonts w:ascii="David" w:hAnsi="David"/>
          <w:rtl/>
        </w:rPr>
        <w:t>ר'</w:t>
      </w:r>
      <w:r>
        <w:rPr>
          <w:rFonts w:ascii="David" w:hAnsi="David"/>
          <w:rtl/>
        </w:rPr>
        <w:t xml:space="preserve"> בחקירתו הנגדית אם </w:t>
      </w:r>
      <w:r>
        <w:rPr>
          <w:rFonts w:ascii="David" w:hAnsi="David"/>
          <w:b/>
          <w:bCs/>
          <w:rtl/>
        </w:rPr>
        <w:t>"</w:t>
      </w:r>
      <w:r w:rsidR="000F5BF7">
        <w:rPr>
          <w:rFonts w:ascii="David" w:hAnsi="David"/>
          <w:b/>
          <w:bCs/>
          <w:rtl/>
        </w:rPr>
        <w:t>ו'</w:t>
      </w:r>
      <w:r>
        <w:rPr>
          <w:rFonts w:ascii="David" w:hAnsi="David"/>
          <w:b/>
          <w:bCs/>
          <w:rtl/>
        </w:rPr>
        <w:t>... היה לקוח שלך בעניינים אחרים"</w:t>
      </w:r>
      <w:r>
        <w:rPr>
          <w:rFonts w:ascii="David" w:hAnsi="David"/>
          <w:rtl/>
        </w:rPr>
        <w:t xml:space="preserve"> (היינו מעבר לעריכת שלוש הצוואות), והשיב </w:t>
      </w:r>
      <w:r>
        <w:rPr>
          <w:rFonts w:ascii="David" w:hAnsi="David"/>
          <w:u w:val="single"/>
          <w:rtl/>
        </w:rPr>
        <w:t>בשלילה</w:t>
      </w:r>
      <w:r>
        <w:rPr>
          <w:rFonts w:ascii="David" w:hAnsi="David"/>
          <w:rtl/>
        </w:rPr>
        <w:t xml:space="preserve"> (עמ' 25 לפרו' עדותו של </w:t>
      </w:r>
      <w:r w:rsidR="000F5BF7">
        <w:rPr>
          <w:rFonts w:ascii="David" w:hAnsi="David"/>
          <w:rtl/>
        </w:rPr>
        <w:t>ר'</w:t>
      </w:r>
      <w:r>
        <w:rPr>
          <w:rFonts w:ascii="David" w:hAnsi="David"/>
          <w:rtl/>
        </w:rPr>
        <w:t xml:space="preserve"> מיום 18.2.2021, שתי שורות אחרונות).</w:t>
      </w:r>
    </w:p>
    <w:p w:rsidR="00457B60" w:rsidRDefault="00457B60" w:rsidP="00457B60">
      <w:pPr>
        <w:spacing w:after="120" w:line="360" w:lineRule="auto"/>
        <w:ind w:left="720"/>
        <w:jc w:val="both"/>
        <w:rPr>
          <w:rFonts w:ascii="David" w:hAnsi="David"/>
          <w:rtl/>
        </w:rPr>
      </w:pPr>
      <w:r>
        <w:rPr>
          <w:rFonts w:ascii="David" w:hAnsi="David"/>
          <w:u w:val="single"/>
          <w:rtl/>
        </w:rPr>
        <w:lastRenderedPageBreak/>
        <w:t xml:space="preserve">לכאורה בכך לא דייק </w:t>
      </w:r>
      <w:r w:rsidR="000F5BF7">
        <w:rPr>
          <w:rFonts w:ascii="David" w:hAnsi="David"/>
          <w:u w:val="single"/>
          <w:rtl/>
        </w:rPr>
        <w:t>ר'</w:t>
      </w:r>
      <w:r>
        <w:rPr>
          <w:rFonts w:ascii="David" w:hAnsi="David"/>
          <w:rtl/>
        </w:rPr>
        <w:t xml:space="preserve">, שכן </w:t>
      </w:r>
      <w:r w:rsidR="000F5BF7">
        <w:rPr>
          <w:rFonts w:ascii="David" w:hAnsi="David"/>
          <w:rtl/>
        </w:rPr>
        <w:t>ו'</w:t>
      </w:r>
      <w:r>
        <w:rPr>
          <w:rFonts w:ascii="David" w:hAnsi="David"/>
          <w:rtl/>
        </w:rPr>
        <w:t xml:space="preserve"> היה לקוח שלו בעניין הסכסוך בינו לבין אחיו בנוגע לעזבונו של המנוח, לפחות בשנת 2002, כעולה ממכתבו של </w:t>
      </w:r>
      <w:r w:rsidR="000F5BF7">
        <w:rPr>
          <w:rFonts w:ascii="David" w:hAnsi="David"/>
          <w:rtl/>
        </w:rPr>
        <w:t>ר'</w:t>
      </w:r>
      <w:r>
        <w:rPr>
          <w:rFonts w:ascii="David" w:hAnsi="David"/>
          <w:rtl/>
        </w:rPr>
        <w:t xml:space="preserve"> נשוא הבקשה לצירוף ראיות, המצוטט לעיל.</w:t>
      </w:r>
    </w:p>
    <w:p w:rsidR="00457B60" w:rsidRDefault="00457B60" w:rsidP="00457B60">
      <w:pPr>
        <w:spacing w:after="120" w:line="360" w:lineRule="auto"/>
        <w:ind w:left="720"/>
        <w:jc w:val="both"/>
        <w:rPr>
          <w:rFonts w:ascii="David" w:hAnsi="David"/>
          <w:rtl/>
        </w:rPr>
      </w:pPr>
      <w:r>
        <w:rPr>
          <w:rFonts w:ascii="David" w:hAnsi="David"/>
          <w:rtl/>
        </w:rPr>
        <w:t xml:space="preserve">[כאן אעיר, שחברתי כב' השופטת אספרנצה אלון בחוות דעתה, סבורה ששאלת הייצוג של </w:t>
      </w:r>
      <w:r w:rsidR="000F5BF7">
        <w:rPr>
          <w:rFonts w:ascii="David" w:hAnsi="David"/>
          <w:rtl/>
        </w:rPr>
        <w:t>ו'</w:t>
      </w:r>
      <w:r>
        <w:rPr>
          <w:rFonts w:ascii="David" w:hAnsi="David"/>
          <w:rtl/>
        </w:rPr>
        <w:t xml:space="preserve"> שהוצגה ל</w:t>
      </w:r>
      <w:r w:rsidR="000F5BF7">
        <w:rPr>
          <w:rFonts w:ascii="David" w:hAnsi="David"/>
          <w:rtl/>
        </w:rPr>
        <w:t>ר'</w:t>
      </w:r>
      <w:r>
        <w:rPr>
          <w:rFonts w:ascii="David" w:hAnsi="David"/>
          <w:rtl/>
        </w:rPr>
        <w:t xml:space="preserve"> כווּנה לתקופת זמן </w:t>
      </w:r>
      <w:r>
        <w:rPr>
          <w:rFonts w:ascii="David" w:hAnsi="David"/>
          <w:u w:val="single"/>
          <w:rtl/>
        </w:rPr>
        <w:t>עובר</w:t>
      </w:r>
      <w:r>
        <w:rPr>
          <w:rFonts w:ascii="David" w:hAnsi="David"/>
          <w:rtl/>
        </w:rPr>
        <w:t xml:space="preserve"> לעריכת הצוואות, ולא לתקופת זמן </w:t>
      </w:r>
      <w:r>
        <w:rPr>
          <w:rFonts w:ascii="David" w:hAnsi="David"/>
          <w:u w:val="single"/>
          <w:rtl/>
        </w:rPr>
        <w:t>שלאחר</w:t>
      </w:r>
      <w:r>
        <w:rPr>
          <w:rFonts w:ascii="David" w:hAnsi="David"/>
          <w:rtl/>
        </w:rPr>
        <w:t xml:space="preserve"> עריכת הצוואות (פסקה 15 לחוות הדעת). לטעמי, בכל הכבוד, אין בסיס לאבחנה זאת בגוף השאלה שנשאל </w:t>
      </w:r>
      <w:r w:rsidR="000F5BF7">
        <w:rPr>
          <w:rFonts w:ascii="David" w:hAnsi="David"/>
          <w:rtl/>
        </w:rPr>
        <w:t>ר'</w:t>
      </w:r>
      <w:r>
        <w:rPr>
          <w:rFonts w:ascii="David" w:hAnsi="David"/>
          <w:rtl/>
        </w:rPr>
        <w:t xml:space="preserve"> או הקשרהּ. השאלה שנשאל </w:t>
      </w:r>
      <w:r w:rsidR="000F5BF7">
        <w:rPr>
          <w:rFonts w:ascii="David" w:hAnsi="David"/>
          <w:rtl/>
        </w:rPr>
        <w:t>ר'</w:t>
      </w:r>
      <w:r>
        <w:rPr>
          <w:rFonts w:ascii="David" w:hAnsi="David"/>
          <w:rtl/>
        </w:rPr>
        <w:t xml:space="preserve"> בחקירתו הנגדית היא, האם ייצג את </w:t>
      </w:r>
      <w:r w:rsidR="000F5BF7">
        <w:rPr>
          <w:rFonts w:ascii="David" w:hAnsi="David"/>
          <w:rtl/>
        </w:rPr>
        <w:t>ו'</w:t>
      </w:r>
      <w:r>
        <w:rPr>
          <w:rFonts w:ascii="David" w:hAnsi="David"/>
          <w:rtl/>
        </w:rPr>
        <w:t xml:space="preserve"> בעניינים אחרים, היינו מעבר לעריכת הצוואות, והשיב בשלילה. מהשאלה דווקא ניתן להבין כי כווּנה לתקופת זמן שלאחר עריכת הצוואות, בדיוק ההיפך ממה שחברתי הסיקה.</w:t>
      </w:r>
    </w:p>
    <w:p w:rsidR="00457B60" w:rsidRDefault="00457B60" w:rsidP="00457B60">
      <w:pPr>
        <w:spacing w:after="120" w:line="360" w:lineRule="auto"/>
        <w:ind w:left="720"/>
        <w:jc w:val="both"/>
        <w:rPr>
          <w:rFonts w:ascii="David" w:hAnsi="David"/>
          <w:rtl/>
        </w:rPr>
      </w:pPr>
      <w:r>
        <w:rPr>
          <w:rFonts w:ascii="David" w:hAnsi="David"/>
          <w:rtl/>
        </w:rPr>
        <w:t xml:space="preserve">בכל אופן, כך לטעמי, היתה חובה על </w:t>
      </w:r>
      <w:r w:rsidR="000F5BF7">
        <w:rPr>
          <w:rFonts w:ascii="David" w:hAnsi="David"/>
          <w:rtl/>
        </w:rPr>
        <w:t>ר'</w:t>
      </w:r>
      <w:r>
        <w:rPr>
          <w:rFonts w:ascii="David" w:hAnsi="David"/>
          <w:rtl/>
        </w:rPr>
        <w:t xml:space="preserve"> לגלות אף </w:t>
      </w:r>
      <w:r>
        <w:rPr>
          <w:rFonts w:ascii="David" w:hAnsi="David"/>
          <w:u w:val="single"/>
          <w:rtl/>
        </w:rPr>
        <w:t>מיוזמתו</w:t>
      </w:r>
      <w:r>
        <w:rPr>
          <w:rFonts w:ascii="David" w:hAnsi="David"/>
          <w:rtl/>
        </w:rPr>
        <w:t xml:space="preserve"> את עובדת ייצוגו את </w:t>
      </w:r>
      <w:r w:rsidR="000F5BF7">
        <w:rPr>
          <w:rFonts w:ascii="David" w:hAnsi="David"/>
          <w:rtl/>
        </w:rPr>
        <w:t>ו'</w:t>
      </w:r>
      <w:r>
        <w:rPr>
          <w:rFonts w:ascii="David" w:hAnsi="David"/>
          <w:rtl/>
        </w:rPr>
        <w:t xml:space="preserve"> מול אחיו במסגרת הבוררות, כעולה מהראיות הנוספות, אפילו נשאל, כדעת חברתי, על תקופת ייצוג עובר לעריכת הצוואות]. </w:t>
      </w:r>
    </w:p>
    <w:p w:rsidR="00457B60" w:rsidRDefault="00457B60" w:rsidP="00457B60">
      <w:pPr>
        <w:spacing w:after="120" w:line="360" w:lineRule="auto"/>
        <w:ind w:left="720"/>
        <w:jc w:val="both"/>
        <w:rPr>
          <w:rFonts w:ascii="David" w:hAnsi="David"/>
          <w:b/>
          <w:bCs/>
          <w:rtl/>
        </w:rPr>
      </w:pPr>
      <w:r>
        <w:rPr>
          <w:rFonts w:ascii="David" w:hAnsi="David"/>
          <w:rtl/>
        </w:rPr>
        <w:t xml:space="preserve">יותר מזה – באותו מכתב, נשוא הבקשה לראיות נוספות, אף ציין </w:t>
      </w:r>
      <w:r w:rsidR="000F5BF7">
        <w:rPr>
          <w:rFonts w:ascii="David" w:hAnsi="David"/>
          <w:rtl/>
        </w:rPr>
        <w:t>ר'</w:t>
      </w:r>
      <w:r>
        <w:rPr>
          <w:rFonts w:ascii="David" w:hAnsi="David"/>
          <w:rtl/>
        </w:rPr>
        <w:t xml:space="preserve"> כי רוצה לקבל מידע על עבודת הבוררים בנדון, </w:t>
      </w:r>
      <w:r>
        <w:rPr>
          <w:rFonts w:ascii="David" w:hAnsi="David"/>
          <w:b/>
          <w:bCs/>
          <w:rtl/>
        </w:rPr>
        <w:t xml:space="preserve">"על מנת לדעת איך לייעץ למרשי </w:t>
      </w:r>
      <w:r>
        <w:rPr>
          <w:rFonts w:ascii="David" w:hAnsi="David"/>
          <w:rtl/>
        </w:rPr>
        <w:t>(</w:t>
      </w:r>
      <w:r w:rsidR="000F5BF7">
        <w:rPr>
          <w:rFonts w:ascii="David" w:hAnsi="David"/>
          <w:rtl/>
        </w:rPr>
        <w:t>ו'</w:t>
      </w:r>
      <w:r>
        <w:rPr>
          <w:rFonts w:ascii="David" w:hAnsi="David"/>
          <w:rtl/>
        </w:rPr>
        <w:t xml:space="preserve"> – ח"ש)</w:t>
      </w:r>
      <w:r>
        <w:rPr>
          <w:rFonts w:ascii="David" w:hAnsi="David"/>
          <w:b/>
          <w:bCs/>
          <w:rtl/>
        </w:rPr>
        <w:t xml:space="preserve"> בענין פתרון הסכסוך שבינו לבין אחיו".</w:t>
      </w:r>
    </w:p>
    <w:p w:rsidR="00457B60" w:rsidRDefault="00457B60" w:rsidP="00457B60">
      <w:pPr>
        <w:spacing w:after="120" w:line="360" w:lineRule="auto"/>
        <w:ind w:left="720"/>
        <w:jc w:val="both"/>
        <w:rPr>
          <w:rFonts w:ascii="David" w:hAnsi="David"/>
          <w:rtl/>
        </w:rPr>
      </w:pPr>
      <w:r>
        <w:rPr>
          <w:rFonts w:ascii="David" w:hAnsi="David"/>
          <w:rtl/>
        </w:rPr>
        <w:t xml:space="preserve">מכאן עולה כאמור לכאורה, כי </w:t>
      </w:r>
      <w:r w:rsidR="000F5BF7">
        <w:rPr>
          <w:rFonts w:ascii="David" w:hAnsi="David"/>
          <w:rtl/>
        </w:rPr>
        <w:t>ר'</w:t>
      </w:r>
      <w:r>
        <w:rPr>
          <w:rFonts w:ascii="David" w:hAnsi="David"/>
          <w:rtl/>
        </w:rPr>
        <w:t xml:space="preserve"> ייצג את </w:t>
      </w:r>
      <w:r w:rsidR="000F5BF7">
        <w:rPr>
          <w:rFonts w:ascii="David" w:hAnsi="David"/>
          <w:rtl/>
        </w:rPr>
        <w:t>ו'</w:t>
      </w:r>
      <w:r>
        <w:rPr>
          <w:rFonts w:ascii="David" w:hAnsi="David"/>
          <w:rtl/>
        </w:rPr>
        <w:t xml:space="preserve"> בסוגיית הסכם החלוקה וחלקו בעזבון המנוח, ואף </w:t>
      </w:r>
      <w:r>
        <w:rPr>
          <w:rFonts w:ascii="David" w:hAnsi="David"/>
          <w:u w:val="single"/>
          <w:rtl/>
        </w:rPr>
        <w:t>ייעץ לו בנדון</w:t>
      </w:r>
      <w:r>
        <w:rPr>
          <w:rFonts w:ascii="David" w:hAnsi="David"/>
          <w:rtl/>
        </w:rPr>
        <w:t>.</w:t>
      </w:r>
    </w:p>
    <w:p w:rsidR="00457B60" w:rsidRDefault="00457B60" w:rsidP="00457B60">
      <w:pPr>
        <w:spacing w:after="120" w:line="360" w:lineRule="auto"/>
        <w:ind w:left="720"/>
        <w:jc w:val="both"/>
        <w:rPr>
          <w:rFonts w:ascii="David" w:hAnsi="David"/>
          <w:rtl/>
        </w:rPr>
      </w:pPr>
      <w:r>
        <w:rPr>
          <w:rFonts w:ascii="David" w:hAnsi="David"/>
          <w:rtl/>
        </w:rPr>
        <w:t xml:space="preserve">האם עובדה זאת לא היתה צריכה להיות מגולה על ידי </w:t>
      </w:r>
      <w:r w:rsidR="000F5BF7">
        <w:rPr>
          <w:rFonts w:ascii="David" w:hAnsi="David"/>
          <w:rtl/>
        </w:rPr>
        <w:t>ר'</w:t>
      </w:r>
      <w:r>
        <w:rPr>
          <w:rFonts w:ascii="David" w:hAnsi="David"/>
          <w:rtl/>
        </w:rPr>
        <w:t xml:space="preserve"> במהלך עדותו, במיוחד כשנשאל אם </w:t>
      </w:r>
      <w:r w:rsidR="000F5BF7">
        <w:rPr>
          <w:rFonts w:ascii="David" w:hAnsi="David"/>
          <w:rtl/>
        </w:rPr>
        <w:t>ו'</w:t>
      </w:r>
      <w:r>
        <w:rPr>
          <w:rFonts w:ascii="David" w:hAnsi="David"/>
          <w:rtl/>
        </w:rPr>
        <w:t xml:space="preserve"> היה לקוח שלו, בכדי שבית המשפט יהיה מודע לה, ויבחן את עדותו ביתר זהירות?!</w:t>
      </w:r>
    </w:p>
    <w:p w:rsidR="00457B60" w:rsidRDefault="00457B60" w:rsidP="00457B60">
      <w:pPr>
        <w:spacing w:after="120" w:line="360" w:lineRule="auto"/>
        <w:ind w:left="720"/>
        <w:jc w:val="both"/>
        <w:rPr>
          <w:rFonts w:ascii="David" w:hAnsi="David"/>
          <w:rtl/>
        </w:rPr>
      </w:pPr>
      <w:r>
        <w:rPr>
          <w:rFonts w:ascii="David" w:hAnsi="David"/>
          <w:rtl/>
        </w:rPr>
        <w:t xml:space="preserve">ודוק – הצוואה שבמחלוקת התגלתה זמן לא רב לאחר הייצוג של </w:t>
      </w:r>
      <w:r w:rsidR="000F5BF7">
        <w:rPr>
          <w:rFonts w:ascii="David" w:hAnsi="David"/>
          <w:rtl/>
        </w:rPr>
        <w:t>ר'</w:t>
      </w:r>
      <w:r>
        <w:rPr>
          <w:rFonts w:ascii="David" w:hAnsi="David"/>
          <w:rtl/>
        </w:rPr>
        <w:t xml:space="preserve"> בנדון (שנת 2003);</w:t>
      </w:r>
    </w:p>
    <w:p w:rsidR="00457B60" w:rsidRDefault="00457B60" w:rsidP="00457B60">
      <w:pPr>
        <w:spacing w:after="120" w:line="360" w:lineRule="auto"/>
        <w:ind w:left="720"/>
        <w:jc w:val="both"/>
        <w:rPr>
          <w:rFonts w:ascii="David" w:hAnsi="David"/>
          <w:rtl/>
        </w:rPr>
      </w:pPr>
      <w:r>
        <w:rPr>
          <w:rFonts w:ascii="David" w:hAnsi="David"/>
          <w:rtl/>
        </w:rPr>
        <w:t xml:space="preserve">לנוכח מעורבותו של </w:t>
      </w:r>
      <w:r w:rsidR="000F5BF7">
        <w:rPr>
          <w:rFonts w:ascii="David" w:hAnsi="David"/>
          <w:rtl/>
        </w:rPr>
        <w:t>ר'</w:t>
      </w:r>
      <w:r>
        <w:rPr>
          <w:rFonts w:ascii="David" w:hAnsi="David"/>
          <w:rtl/>
        </w:rPr>
        <w:t xml:space="preserve"> בנדון בייצוגו של </w:t>
      </w:r>
      <w:r w:rsidR="000F5BF7">
        <w:rPr>
          <w:rFonts w:ascii="David" w:hAnsi="David"/>
          <w:rtl/>
        </w:rPr>
        <w:t>ו'</w:t>
      </w:r>
      <w:r>
        <w:rPr>
          <w:rFonts w:ascii="David" w:hAnsi="David"/>
          <w:rtl/>
        </w:rPr>
        <w:t xml:space="preserve"> גם עולה השאלה, איך הוא ייעץ ל</w:t>
      </w:r>
      <w:r w:rsidR="000F5BF7">
        <w:rPr>
          <w:rFonts w:ascii="David" w:hAnsi="David"/>
          <w:rtl/>
        </w:rPr>
        <w:t>ו'</w:t>
      </w:r>
      <w:r>
        <w:rPr>
          <w:rFonts w:ascii="David" w:hAnsi="David"/>
          <w:rtl/>
        </w:rPr>
        <w:t xml:space="preserve"> לפתור הסכסוך עם אחיו. הרי לשם כך שכר </w:t>
      </w:r>
      <w:r w:rsidR="000F5BF7">
        <w:rPr>
          <w:rFonts w:ascii="David" w:hAnsi="David"/>
          <w:rtl/>
        </w:rPr>
        <w:t>ו'</w:t>
      </w:r>
      <w:r>
        <w:rPr>
          <w:rFonts w:ascii="David" w:hAnsi="David"/>
          <w:rtl/>
        </w:rPr>
        <w:t xml:space="preserve"> את שירותיו כעורך דין, כעולה ממכתבו האמור של </w:t>
      </w:r>
      <w:r w:rsidR="000F5BF7">
        <w:rPr>
          <w:rFonts w:ascii="David" w:hAnsi="David"/>
          <w:rtl/>
        </w:rPr>
        <w:t>ר'</w:t>
      </w:r>
      <w:r>
        <w:rPr>
          <w:rFonts w:ascii="David" w:hAnsi="David"/>
          <w:rtl/>
        </w:rPr>
        <w:t xml:space="preserve">? </w:t>
      </w:r>
    </w:p>
    <w:p w:rsidR="00457B60" w:rsidRDefault="00457B60" w:rsidP="00457B60">
      <w:pPr>
        <w:spacing w:after="120" w:line="360" w:lineRule="auto"/>
        <w:ind w:left="720"/>
        <w:jc w:val="both"/>
        <w:rPr>
          <w:rFonts w:ascii="David" w:hAnsi="David"/>
          <w:rtl/>
        </w:rPr>
      </w:pPr>
      <w:r>
        <w:rPr>
          <w:rFonts w:ascii="David" w:hAnsi="David"/>
          <w:rtl/>
        </w:rPr>
        <w:t>אולי הוא ייעץ לו לחשוף את הצוואה שבמחלוקת לה היה מודע, שהרי ערך אותה?</w:t>
      </w:r>
    </w:p>
    <w:p w:rsidR="00457B60" w:rsidRDefault="00457B60" w:rsidP="00457B60">
      <w:pPr>
        <w:spacing w:after="120" w:line="360" w:lineRule="auto"/>
        <w:ind w:left="720"/>
        <w:jc w:val="both"/>
        <w:rPr>
          <w:rFonts w:ascii="David" w:hAnsi="David"/>
          <w:rtl/>
        </w:rPr>
      </w:pPr>
      <w:r>
        <w:rPr>
          <w:rFonts w:ascii="David" w:hAnsi="David"/>
          <w:rtl/>
        </w:rPr>
        <w:t xml:space="preserve">למה בכלל התלבט </w:t>
      </w:r>
      <w:r w:rsidR="000F5BF7">
        <w:rPr>
          <w:rFonts w:ascii="David" w:hAnsi="David"/>
          <w:rtl/>
        </w:rPr>
        <w:t>ר'</w:t>
      </w:r>
      <w:r>
        <w:rPr>
          <w:rFonts w:ascii="David" w:hAnsi="David"/>
          <w:rtl/>
        </w:rPr>
        <w:t xml:space="preserve"> איך לייעץ ל</w:t>
      </w:r>
      <w:r w:rsidR="000F5BF7">
        <w:rPr>
          <w:rFonts w:ascii="David" w:hAnsi="David"/>
          <w:rtl/>
        </w:rPr>
        <w:t>ו'</w:t>
      </w:r>
      <w:r>
        <w:rPr>
          <w:rFonts w:ascii="David" w:hAnsi="David"/>
          <w:rtl/>
        </w:rPr>
        <w:t xml:space="preserve"> מרשו לנוכח הבוררות, הרי לכאורה יש לו ידיעה על הצוואה שבמחלוקת, במסגרתה </w:t>
      </w:r>
      <w:r w:rsidR="000F5BF7">
        <w:rPr>
          <w:rFonts w:ascii="David" w:hAnsi="David"/>
          <w:rtl/>
        </w:rPr>
        <w:t>ו'</w:t>
      </w:r>
      <w:r>
        <w:rPr>
          <w:rFonts w:ascii="David" w:hAnsi="David"/>
          <w:rtl/>
        </w:rPr>
        <w:t xml:space="preserve"> הוא הזוכה היחיד על פי הצוואה?</w:t>
      </w:r>
    </w:p>
    <w:p w:rsidR="00457B60" w:rsidRDefault="00457B60" w:rsidP="00457B60">
      <w:pPr>
        <w:spacing w:after="120" w:line="360" w:lineRule="auto"/>
        <w:ind w:left="720"/>
        <w:jc w:val="both"/>
        <w:rPr>
          <w:rFonts w:ascii="David" w:hAnsi="David"/>
          <w:rtl/>
        </w:rPr>
      </w:pPr>
      <w:r>
        <w:rPr>
          <w:rFonts w:ascii="David" w:hAnsi="David"/>
          <w:rtl/>
        </w:rPr>
        <w:t xml:space="preserve">בנסיבות אלה גם עולה לכאורה החשש, שמא בעדותו ניסה </w:t>
      </w:r>
      <w:r w:rsidR="000F5BF7">
        <w:rPr>
          <w:rFonts w:ascii="David" w:hAnsi="David"/>
          <w:rtl/>
        </w:rPr>
        <w:t>ר'</w:t>
      </w:r>
      <w:r>
        <w:rPr>
          <w:rFonts w:ascii="David" w:hAnsi="David"/>
          <w:rtl/>
        </w:rPr>
        <w:t xml:space="preserve"> להמעיט במידת מעורבותו של </w:t>
      </w:r>
      <w:r w:rsidR="000F5BF7">
        <w:rPr>
          <w:rFonts w:ascii="David" w:hAnsi="David"/>
          <w:rtl/>
        </w:rPr>
        <w:t>ו'</w:t>
      </w:r>
      <w:r>
        <w:rPr>
          <w:rFonts w:ascii="David" w:hAnsi="David"/>
          <w:rtl/>
        </w:rPr>
        <w:t xml:space="preserve"> בעריכת הצוואה, שכן היה לו אינטרס בכך. שהרי ערך הצוואה ורצה לשמור על תקינות עריכתה, ו-</w:t>
      </w:r>
      <w:r w:rsidR="000F5BF7">
        <w:rPr>
          <w:rFonts w:ascii="David" w:hAnsi="David"/>
          <w:rtl/>
        </w:rPr>
        <w:t>ו'</w:t>
      </w:r>
      <w:r>
        <w:rPr>
          <w:rFonts w:ascii="David" w:hAnsi="David"/>
          <w:rtl/>
        </w:rPr>
        <w:t xml:space="preserve"> היה לקוח שלו בנדון?</w:t>
      </w:r>
    </w:p>
    <w:p w:rsidR="00457B60" w:rsidRDefault="00457B60" w:rsidP="00457B60">
      <w:pPr>
        <w:spacing w:after="120" w:line="360" w:lineRule="auto"/>
        <w:ind w:left="720"/>
        <w:jc w:val="both"/>
        <w:rPr>
          <w:rFonts w:ascii="David" w:hAnsi="David"/>
          <w:rtl/>
        </w:rPr>
      </w:pPr>
      <w:r>
        <w:rPr>
          <w:rFonts w:ascii="David" w:hAnsi="David"/>
          <w:b/>
          <w:bCs/>
          <w:rtl/>
        </w:rPr>
        <w:t xml:space="preserve">אלה שאלות מטרידות שעולות ממעורבותו של </w:t>
      </w:r>
      <w:r w:rsidR="000F5BF7">
        <w:rPr>
          <w:rFonts w:ascii="David" w:hAnsi="David"/>
          <w:b/>
          <w:bCs/>
          <w:rtl/>
        </w:rPr>
        <w:t>ר'</w:t>
      </w:r>
      <w:r>
        <w:rPr>
          <w:rFonts w:ascii="David" w:hAnsi="David"/>
          <w:b/>
          <w:bCs/>
          <w:rtl/>
        </w:rPr>
        <w:t xml:space="preserve"> בסכסוך האחים, בדרך של ייצוגו את </w:t>
      </w:r>
      <w:r w:rsidR="000F5BF7">
        <w:rPr>
          <w:rFonts w:ascii="David" w:hAnsi="David"/>
          <w:b/>
          <w:bCs/>
          <w:rtl/>
        </w:rPr>
        <w:t>ו'</w:t>
      </w:r>
      <w:r>
        <w:rPr>
          <w:rFonts w:ascii="David" w:hAnsi="David"/>
          <w:b/>
          <w:bCs/>
          <w:rtl/>
        </w:rPr>
        <w:t xml:space="preserve">, עובדה לה בית משפט קמא לא היה מודע. </w:t>
      </w:r>
      <w:r>
        <w:rPr>
          <w:rFonts w:ascii="David" w:hAnsi="David"/>
          <w:rtl/>
        </w:rPr>
        <w:tab/>
      </w:r>
    </w:p>
    <w:p w:rsidR="00457B60" w:rsidRDefault="00457B60" w:rsidP="00457B60">
      <w:pPr>
        <w:spacing w:after="120" w:line="360" w:lineRule="auto"/>
        <w:ind w:left="720"/>
        <w:jc w:val="both"/>
        <w:rPr>
          <w:rFonts w:ascii="David" w:hAnsi="David"/>
          <w:b/>
          <w:bCs/>
          <w:rtl/>
        </w:rPr>
      </w:pPr>
      <w:r>
        <w:rPr>
          <w:rFonts w:ascii="David" w:hAnsi="David"/>
          <w:rtl/>
        </w:rPr>
        <w:t xml:space="preserve">לכן יש לומר בהתייחס לראיות הנוספות – כי התנאי הבסיסי התקיים. </w:t>
      </w:r>
      <w:r>
        <w:rPr>
          <w:rFonts w:ascii="David" w:hAnsi="David"/>
          <w:b/>
          <w:bCs/>
          <w:rtl/>
        </w:rPr>
        <w:t>היינו הראיות החדשות עשויות להשפיע על תוצאות הערעור בשני אופנים:</w:t>
      </w:r>
    </w:p>
    <w:p w:rsidR="00457B60" w:rsidRDefault="00457B60" w:rsidP="00457B60">
      <w:pPr>
        <w:spacing w:after="120" w:line="360" w:lineRule="auto"/>
        <w:ind w:left="720"/>
        <w:jc w:val="both"/>
        <w:rPr>
          <w:rFonts w:ascii="David" w:hAnsi="David"/>
          <w:rtl/>
        </w:rPr>
      </w:pPr>
      <w:r>
        <w:rPr>
          <w:rFonts w:ascii="David" w:hAnsi="David"/>
          <w:rtl/>
        </w:rPr>
        <w:lastRenderedPageBreak/>
        <w:t>לטעמי האמון שבית משפט קמא נתן ב</w:t>
      </w:r>
      <w:r w:rsidR="000F5BF7">
        <w:rPr>
          <w:rFonts w:ascii="David" w:hAnsi="David"/>
          <w:rtl/>
        </w:rPr>
        <w:t>ר'</w:t>
      </w:r>
      <w:r>
        <w:rPr>
          <w:rFonts w:ascii="David" w:hAnsi="David"/>
          <w:rtl/>
        </w:rPr>
        <w:t xml:space="preserve">, צריך להיבחן על ידיו מחדש לנוכח עובדת ייצוגו את </w:t>
      </w:r>
      <w:r w:rsidR="000F5BF7">
        <w:rPr>
          <w:rFonts w:ascii="David" w:hAnsi="David"/>
          <w:rtl/>
        </w:rPr>
        <w:t>ו'</w:t>
      </w:r>
      <w:r>
        <w:rPr>
          <w:rFonts w:ascii="David" w:hAnsi="David"/>
          <w:rtl/>
        </w:rPr>
        <w:t xml:space="preserve"> בסכסוך עם אחיו;</w:t>
      </w:r>
    </w:p>
    <w:p w:rsidR="00457B60" w:rsidRDefault="00457B60" w:rsidP="00457B60">
      <w:pPr>
        <w:spacing w:after="120" w:line="360" w:lineRule="auto"/>
        <w:ind w:left="720" w:hanging="720"/>
        <w:jc w:val="both"/>
        <w:rPr>
          <w:rFonts w:ascii="David" w:hAnsi="David"/>
          <w:rtl/>
        </w:rPr>
      </w:pPr>
      <w:r>
        <w:rPr>
          <w:rFonts w:ascii="David" w:hAnsi="David"/>
          <w:rtl/>
        </w:rPr>
        <w:t>51.</w:t>
      </w:r>
      <w:r>
        <w:rPr>
          <w:rFonts w:ascii="David" w:hAnsi="David"/>
          <w:rtl/>
        </w:rPr>
        <w:tab/>
      </w:r>
      <w:r>
        <w:rPr>
          <w:rFonts w:ascii="David" w:hAnsi="David"/>
          <w:b/>
          <w:bCs/>
          <w:u w:val="single"/>
          <w:rtl/>
        </w:rPr>
        <w:t>באשר לתנאי הנוסף</w:t>
      </w:r>
      <w:r>
        <w:rPr>
          <w:rFonts w:ascii="David" w:hAnsi="David"/>
          <w:u w:val="single"/>
          <w:rtl/>
        </w:rPr>
        <w:t xml:space="preserve"> </w:t>
      </w:r>
      <w:r>
        <w:rPr>
          <w:rFonts w:ascii="David" w:hAnsi="David"/>
          <w:b/>
          <w:bCs/>
          <w:u w:val="single"/>
          <w:rtl/>
        </w:rPr>
        <w:t>הראשון</w:t>
      </w:r>
      <w:r>
        <w:rPr>
          <w:rFonts w:ascii="David" w:hAnsi="David"/>
          <w:rtl/>
        </w:rPr>
        <w:t xml:space="preserve"> – </w:t>
      </w:r>
      <w:r>
        <w:rPr>
          <w:rFonts w:ascii="David" w:hAnsi="David"/>
          <w:b/>
          <w:bCs/>
          <w:rtl/>
        </w:rPr>
        <w:t>לא היה ניתן לאתר את הראיה בשקידה סבירה ולהגישה בערכאה הראשונה במועד המתאים לכך</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t xml:space="preserve">תנאי זה צריך להיבחן דרך עיניו של </w:t>
      </w:r>
      <w:r w:rsidR="000F5BF7">
        <w:rPr>
          <w:rFonts w:ascii="David" w:hAnsi="David"/>
          <w:rtl/>
        </w:rPr>
        <w:t>ס'</w:t>
      </w:r>
      <w:r>
        <w:rPr>
          <w:rFonts w:ascii="David" w:hAnsi="David"/>
          <w:rtl/>
        </w:rPr>
        <w:t xml:space="preserve">, שניהל את ההליך קמא. למעשה ליורשיו, שנכנסו בנעליו, לא היה הסבר בבקשה מדוע </w:t>
      </w:r>
      <w:r w:rsidR="000F5BF7">
        <w:rPr>
          <w:rFonts w:ascii="David" w:hAnsi="David"/>
          <w:rtl/>
        </w:rPr>
        <w:t>ס'</w:t>
      </w:r>
      <w:r>
        <w:rPr>
          <w:rFonts w:ascii="David" w:hAnsi="David"/>
          <w:rtl/>
        </w:rPr>
        <w:t xml:space="preserve"> לא הגיש את המסמכים האמורים לאורך ההליך קמא. משכך ניתן לומר כי תנאי זה לא התקיים בנדון. </w:t>
      </w:r>
    </w:p>
    <w:p w:rsidR="00457B60" w:rsidRDefault="00457B60" w:rsidP="00457B60">
      <w:pPr>
        <w:spacing w:after="120" w:line="360" w:lineRule="auto"/>
        <w:ind w:left="720" w:hanging="720"/>
        <w:jc w:val="both"/>
        <w:rPr>
          <w:rFonts w:ascii="David" w:hAnsi="David"/>
          <w:rtl/>
        </w:rPr>
      </w:pPr>
      <w:r>
        <w:rPr>
          <w:rFonts w:ascii="David" w:hAnsi="David"/>
          <w:rtl/>
        </w:rPr>
        <w:t>52.</w:t>
      </w:r>
      <w:r>
        <w:rPr>
          <w:rFonts w:ascii="David" w:hAnsi="David"/>
          <w:rtl/>
        </w:rPr>
        <w:tab/>
      </w:r>
      <w:r>
        <w:rPr>
          <w:rFonts w:ascii="David" w:hAnsi="David"/>
          <w:b/>
          <w:bCs/>
          <w:u w:val="single"/>
          <w:rtl/>
        </w:rPr>
        <w:t>באשר לתנאי הנוסף השני</w:t>
      </w:r>
      <w:r>
        <w:rPr>
          <w:rFonts w:ascii="David" w:hAnsi="David"/>
          <w:rtl/>
        </w:rPr>
        <w:t xml:space="preserve"> – </w:t>
      </w:r>
      <w:r>
        <w:rPr>
          <w:rFonts w:ascii="David" w:hAnsi="David"/>
          <w:b/>
          <w:bCs/>
          <w:rtl/>
        </w:rPr>
        <w:t>הגשת הראיה דרושה כדי למנוע עיוות דין</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t xml:space="preserve">סבורני, לאור דבריי בסעיף 50 לעיל, כי אם לא נקבל את הראיות הנוספות החושפות את ייצוגו של </w:t>
      </w:r>
      <w:r w:rsidR="000F5BF7">
        <w:rPr>
          <w:rFonts w:ascii="David" w:hAnsi="David"/>
          <w:rtl/>
        </w:rPr>
        <w:t>ו'</w:t>
      </w:r>
      <w:r>
        <w:rPr>
          <w:rFonts w:ascii="David" w:hAnsi="David"/>
          <w:rtl/>
        </w:rPr>
        <w:t xml:space="preserve"> על ידי </w:t>
      </w:r>
      <w:r w:rsidR="000F5BF7">
        <w:rPr>
          <w:rFonts w:ascii="David" w:hAnsi="David"/>
          <w:rtl/>
        </w:rPr>
        <w:t>ר'</w:t>
      </w:r>
      <w:r>
        <w:rPr>
          <w:rFonts w:ascii="David" w:hAnsi="David"/>
          <w:rtl/>
        </w:rPr>
        <w:t xml:space="preserve"> בסכסוך עם אחיו בנוגע לעזבון המנוח, תוך מתן אפשרות לברר המשמעות של כך (ואבהיר מיד כיצד לטעמי יש לעשות כן), עלול להיגרם למערערים עיוות דין. </w:t>
      </w:r>
    </w:p>
    <w:p w:rsidR="00457B60" w:rsidRDefault="00457B60" w:rsidP="00457B60">
      <w:pPr>
        <w:spacing w:after="120" w:line="360" w:lineRule="auto"/>
        <w:ind w:left="720" w:hanging="720"/>
        <w:jc w:val="both"/>
        <w:rPr>
          <w:rFonts w:ascii="David" w:hAnsi="David"/>
          <w:rtl/>
        </w:rPr>
      </w:pPr>
      <w:r>
        <w:rPr>
          <w:rFonts w:ascii="David" w:hAnsi="David"/>
          <w:rtl/>
        </w:rPr>
        <w:t>53.</w:t>
      </w:r>
      <w:r>
        <w:rPr>
          <w:rFonts w:ascii="David" w:hAnsi="David"/>
          <w:rtl/>
        </w:rPr>
        <w:tab/>
      </w:r>
      <w:r>
        <w:rPr>
          <w:rFonts w:ascii="David" w:hAnsi="David"/>
          <w:b/>
          <w:bCs/>
          <w:rtl/>
        </w:rPr>
        <w:t>משהתקיים התנאי הבסיסי והתנאי הנוסף השני, שוכנעתי לקבל את הבקשה לראיות נוספות</w:t>
      </w:r>
      <w:r>
        <w:rPr>
          <w:rFonts w:ascii="David" w:hAnsi="David"/>
          <w:rtl/>
        </w:rPr>
        <w:t xml:space="preserve">, </w:t>
      </w:r>
      <w:r>
        <w:rPr>
          <w:rFonts w:ascii="David" w:hAnsi="David"/>
          <w:b/>
          <w:bCs/>
          <w:rtl/>
        </w:rPr>
        <w:t>וכך אמליץ לחבריי להורות.</w:t>
      </w:r>
      <w:r>
        <w:rPr>
          <w:rFonts w:ascii="David" w:hAnsi="David"/>
          <w:rtl/>
        </w:rPr>
        <w:t xml:space="preserve"> </w:t>
      </w:r>
    </w:p>
    <w:p w:rsidR="00457B60" w:rsidRDefault="00457B60" w:rsidP="00457B60">
      <w:pPr>
        <w:spacing w:after="120" w:line="360" w:lineRule="auto"/>
        <w:ind w:left="720" w:hanging="720"/>
        <w:jc w:val="both"/>
        <w:rPr>
          <w:rFonts w:ascii="David" w:hAnsi="David"/>
          <w:rtl/>
        </w:rPr>
      </w:pPr>
      <w:r>
        <w:rPr>
          <w:rFonts w:ascii="David" w:hAnsi="David"/>
          <w:rtl/>
        </w:rPr>
        <w:t>54.</w:t>
      </w:r>
      <w:r>
        <w:rPr>
          <w:rFonts w:ascii="David" w:hAnsi="David"/>
          <w:rtl/>
        </w:rPr>
        <w:tab/>
        <w:t xml:space="preserve">במצב דברים זה שוכנעתי מדבריו של בא כוחם של יורשי </w:t>
      </w:r>
      <w:r w:rsidR="000F5BF7">
        <w:rPr>
          <w:rFonts w:ascii="David" w:hAnsi="David"/>
          <w:rtl/>
        </w:rPr>
        <w:t>ס'</w:t>
      </w:r>
      <w:r>
        <w:rPr>
          <w:rFonts w:ascii="David" w:hAnsi="David"/>
          <w:rtl/>
        </w:rPr>
        <w:t xml:space="preserve"> ז"ל בישיבת הערעור בתאריך 24.6.2024, כי אם הבקשה לראיות נוספות תתקבל, יהיה צורך להשיב התיק לבית משפט קמא, כדי שיחליט אם יש מקום להעיד את </w:t>
      </w:r>
      <w:r w:rsidR="000F5BF7">
        <w:rPr>
          <w:rFonts w:ascii="David" w:hAnsi="David"/>
          <w:rtl/>
        </w:rPr>
        <w:t>ר'</w:t>
      </w:r>
      <w:r>
        <w:rPr>
          <w:rFonts w:ascii="David" w:hAnsi="David"/>
          <w:rtl/>
        </w:rPr>
        <w:t xml:space="preserve"> בשנית בנקודה זאת (ראו סעיף 46 לעיל).</w:t>
      </w:r>
    </w:p>
    <w:p w:rsidR="00457B60" w:rsidRDefault="00457B60" w:rsidP="00457B60">
      <w:pPr>
        <w:spacing w:after="120" w:line="360" w:lineRule="auto"/>
        <w:ind w:left="720" w:hanging="720"/>
        <w:jc w:val="both"/>
        <w:rPr>
          <w:rFonts w:ascii="David" w:hAnsi="David"/>
          <w:rtl/>
        </w:rPr>
      </w:pPr>
      <w:r>
        <w:rPr>
          <w:rFonts w:ascii="David" w:hAnsi="David"/>
          <w:rtl/>
        </w:rPr>
        <w:tab/>
        <w:t>זו למעשה גם עמדת הפסיקה. היינו יש לבכר את הדרך של החזרת ההליך לבית משפט קמא, כדי לאפשר הבאת הראיה הנוספת בפניו, לבחינתה וקביעת ממצאי עובדה ומהימנות מכוחה.</w:t>
      </w:r>
    </w:p>
    <w:p w:rsidR="00457B60" w:rsidRDefault="00457B60" w:rsidP="00457B60">
      <w:pPr>
        <w:spacing w:after="120" w:line="360" w:lineRule="auto"/>
        <w:ind w:left="720" w:hanging="720"/>
        <w:jc w:val="both"/>
        <w:rPr>
          <w:rFonts w:ascii="David" w:hAnsi="David"/>
          <w:rtl/>
        </w:rPr>
      </w:pPr>
      <w:r>
        <w:rPr>
          <w:rFonts w:ascii="David" w:hAnsi="David"/>
          <w:rtl/>
        </w:rPr>
        <w:tab/>
      </w:r>
      <w:r>
        <w:rPr>
          <w:rFonts w:ascii="David" w:hAnsi="David"/>
          <w:u w:val="single"/>
          <w:rtl/>
        </w:rPr>
        <w:t>ראו לעניין זה</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t xml:space="preserve">ע"א 4836/90 </w:t>
      </w:r>
      <w:r>
        <w:rPr>
          <w:rFonts w:ascii="David" w:hAnsi="David"/>
          <w:b/>
          <w:bCs/>
          <w:rtl/>
        </w:rPr>
        <w:t>פמ"ר</w:t>
      </w:r>
      <w:r>
        <w:rPr>
          <w:rFonts w:ascii="David" w:hAnsi="David"/>
          <w:rtl/>
        </w:rPr>
        <w:t xml:space="preserve"> </w:t>
      </w:r>
      <w:r>
        <w:rPr>
          <w:rFonts w:ascii="David" w:hAnsi="David"/>
          <w:b/>
          <w:bCs/>
          <w:rtl/>
        </w:rPr>
        <w:t>חב' לבנין ולעבודות ציבוריות בע"מ נ' הבנק הבינלאומי הראשון בע"מ</w:t>
      </w:r>
      <w:r>
        <w:rPr>
          <w:rFonts w:ascii="David" w:hAnsi="David"/>
          <w:rtl/>
        </w:rPr>
        <w:t xml:space="preserve"> פד"י מח(2) 560, 568 (פסקה 13);</w:t>
      </w:r>
    </w:p>
    <w:p w:rsidR="00457B60" w:rsidRDefault="00457B60" w:rsidP="00457B60">
      <w:pPr>
        <w:spacing w:after="120" w:line="360" w:lineRule="auto"/>
        <w:ind w:left="720" w:hanging="720"/>
        <w:jc w:val="both"/>
        <w:rPr>
          <w:rFonts w:ascii="David" w:hAnsi="David"/>
          <w:rtl/>
        </w:rPr>
      </w:pPr>
      <w:r>
        <w:rPr>
          <w:rFonts w:ascii="David" w:hAnsi="David"/>
          <w:rtl/>
        </w:rPr>
        <w:tab/>
        <w:t xml:space="preserve">ע"א 82/88 </w:t>
      </w:r>
      <w:r>
        <w:rPr>
          <w:rFonts w:ascii="David" w:hAnsi="David"/>
          <w:b/>
          <w:bCs/>
          <w:rtl/>
        </w:rPr>
        <w:t>שמחה שמואלי נ' שושנה קצב</w:t>
      </w:r>
      <w:r>
        <w:rPr>
          <w:rFonts w:ascii="David" w:hAnsi="David"/>
          <w:rtl/>
        </w:rPr>
        <w:t xml:space="preserve"> , מו(4) 129,134.</w:t>
      </w:r>
    </w:p>
    <w:p w:rsidR="00457B60" w:rsidRDefault="00457B60" w:rsidP="00457B60">
      <w:pPr>
        <w:spacing w:after="120" w:line="360" w:lineRule="auto"/>
        <w:ind w:left="720" w:hanging="720"/>
        <w:jc w:val="both"/>
        <w:rPr>
          <w:rFonts w:ascii="David" w:hAnsi="David"/>
          <w:rtl/>
        </w:rPr>
      </w:pPr>
      <w:r>
        <w:rPr>
          <w:rFonts w:ascii="David" w:hAnsi="David"/>
          <w:rtl/>
        </w:rPr>
        <w:tab/>
        <w:t xml:space="preserve">לכן גם מטעם זה (ומטעמים נוספים כפי שאראה להלן) אמליץ לחבריי להורות על החזרת ההליך לבית משפט קמא, שישקול, לאחר קבלת עמדות הצדדים, אם להעיד את </w:t>
      </w:r>
      <w:r w:rsidR="000F5BF7">
        <w:rPr>
          <w:rFonts w:ascii="David" w:hAnsi="David"/>
          <w:rtl/>
        </w:rPr>
        <w:t>ר'</w:t>
      </w:r>
      <w:r>
        <w:rPr>
          <w:rFonts w:ascii="David" w:hAnsi="David"/>
          <w:rtl/>
        </w:rPr>
        <w:t xml:space="preserve"> מחדש בכדי לחוקרו על עובדת ייצוגו את </w:t>
      </w:r>
      <w:r w:rsidR="000F5BF7">
        <w:rPr>
          <w:rFonts w:ascii="David" w:hAnsi="David"/>
          <w:rtl/>
        </w:rPr>
        <w:t>ו'</w:t>
      </w:r>
      <w:r>
        <w:rPr>
          <w:rFonts w:ascii="David" w:hAnsi="David"/>
          <w:rtl/>
        </w:rPr>
        <w:t xml:space="preserve"> בסכסוך בין האחים; סיבת הסתרתו עובדה זאת בעדותו; ויעריך מהימנותו מחדש, תוך בחינת השלכת הדברים על השאלות שעל הפרק.</w:t>
      </w:r>
    </w:p>
    <w:p w:rsidR="00457B60" w:rsidRDefault="00457B60" w:rsidP="00457B60">
      <w:pPr>
        <w:spacing w:after="120" w:line="360" w:lineRule="auto"/>
        <w:ind w:left="720" w:hanging="720"/>
        <w:jc w:val="both"/>
        <w:rPr>
          <w:rFonts w:ascii="David" w:hAnsi="David"/>
          <w:rtl/>
        </w:rPr>
      </w:pPr>
      <w:r>
        <w:rPr>
          <w:rFonts w:ascii="David" w:hAnsi="David"/>
          <w:rtl/>
        </w:rPr>
        <w:t>55.</w:t>
      </w:r>
      <w:r>
        <w:rPr>
          <w:rFonts w:ascii="David" w:hAnsi="David"/>
          <w:rtl/>
        </w:rPr>
        <w:tab/>
        <w:t xml:space="preserve">כפי שכבר ציינתי, בסופו של יום אמליץ לחבריי בכל מקרה להורות על ביטול חלקים מפסק הדין, והחזרת ההליך לבית משפט קמא לבחינת ההכרעה מחדש, כשהפעם נטל השכנוע להוכחת כשרות הצוואה שבמחלוקת, בהתייחס לטענות המערערים (פגמים מהותיים וצורניים, כשרות המנוח להבין את טיבה של </w:t>
      </w:r>
      <w:r>
        <w:rPr>
          <w:rFonts w:ascii="David" w:hAnsi="David"/>
          <w:rtl/>
        </w:rPr>
        <w:lastRenderedPageBreak/>
        <w:t xml:space="preserve">הצוואה שמחלוקת, אי מעורבותו של </w:t>
      </w:r>
      <w:r w:rsidR="000F5BF7">
        <w:rPr>
          <w:rFonts w:ascii="David" w:hAnsi="David"/>
          <w:rtl/>
        </w:rPr>
        <w:t>ו'</w:t>
      </w:r>
      <w:r>
        <w:rPr>
          <w:rFonts w:ascii="David" w:hAnsi="David"/>
          <w:rtl/>
        </w:rPr>
        <w:t xml:space="preserve"> בעריכת הצוואה ושלילת השפעה בלתי הוגנת מצדו על המנוח), </w:t>
      </w:r>
      <w:r>
        <w:rPr>
          <w:rFonts w:ascii="David" w:hAnsi="David"/>
          <w:b/>
          <w:bCs/>
          <w:rtl/>
        </w:rPr>
        <w:t xml:space="preserve">יוטל על </w:t>
      </w:r>
      <w:r w:rsidR="000F5BF7">
        <w:rPr>
          <w:rFonts w:ascii="David" w:hAnsi="David"/>
          <w:b/>
          <w:bCs/>
          <w:rtl/>
        </w:rPr>
        <w:t>ו'</w:t>
      </w:r>
      <w:r>
        <w:rPr>
          <w:rFonts w:ascii="David" w:hAnsi="David"/>
          <w:rtl/>
        </w:rPr>
        <w:t xml:space="preserve">, מבקש בקשת הקיום. </w:t>
      </w:r>
    </w:p>
    <w:p w:rsidR="00457B60" w:rsidRDefault="00457B60" w:rsidP="00457B60">
      <w:pPr>
        <w:spacing w:after="120" w:line="360" w:lineRule="auto"/>
        <w:ind w:left="720" w:hanging="720"/>
        <w:jc w:val="both"/>
        <w:rPr>
          <w:rFonts w:ascii="David" w:hAnsi="David"/>
          <w:rtl/>
        </w:rPr>
      </w:pPr>
    </w:p>
    <w:p w:rsidR="00457B60" w:rsidRDefault="00457B60" w:rsidP="00457B60">
      <w:pPr>
        <w:spacing w:after="120" w:line="360" w:lineRule="auto"/>
        <w:ind w:left="720" w:hanging="720"/>
        <w:jc w:val="both"/>
        <w:rPr>
          <w:rFonts w:ascii="David" w:hAnsi="David"/>
          <w:b/>
          <w:bCs/>
          <w:u w:val="single"/>
          <w:rtl/>
        </w:rPr>
      </w:pPr>
      <w:r>
        <w:rPr>
          <w:rFonts w:ascii="David" w:hAnsi="David"/>
          <w:b/>
          <w:bCs/>
          <w:u w:val="single"/>
          <w:rtl/>
        </w:rPr>
        <w:t>דיון והכרעה</w:t>
      </w:r>
    </w:p>
    <w:p w:rsidR="00457B60" w:rsidRDefault="00457B60" w:rsidP="00457B60">
      <w:pPr>
        <w:spacing w:after="120" w:line="360" w:lineRule="auto"/>
        <w:ind w:left="720" w:hanging="720"/>
        <w:jc w:val="both"/>
        <w:rPr>
          <w:rFonts w:ascii="David" w:hAnsi="David"/>
          <w:rtl/>
        </w:rPr>
      </w:pPr>
      <w:r>
        <w:rPr>
          <w:rFonts w:ascii="David" w:hAnsi="David"/>
          <w:rtl/>
        </w:rPr>
        <w:t>56.</w:t>
      </w:r>
      <w:r>
        <w:rPr>
          <w:rFonts w:ascii="David" w:hAnsi="David"/>
          <w:rtl/>
        </w:rPr>
        <w:tab/>
      </w:r>
      <w:r>
        <w:rPr>
          <w:rFonts w:ascii="David" w:hAnsi="David"/>
          <w:u w:val="single"/>
          <w:rtl/>
        </w:rPr>
        <w:t>אפתח בנקודות בהן לא הייתי ממליץ לחבריי להתערב בפסק הדין, כדלקמן</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t>א.</w:t>
      </w:r>
      <w:r>
        <w:rPr>
          <w:rFonts w:ascii="David" w:hAnsi="David"/>
          <w:rtl/>
        </w:rPr>
        <w:tab/>
        <w:t>בהתמקדותו של בית משפט קמא בפסק הדין בבקשה לביטול הצוואה שבמחלוקת, ולא בתוקפו של הסכם החלוקה אל מול הצוואה (ראו סעיף 14 לעיל).</w:t>
      </w:r>
    </w:p>
    <w:p w:rsidR="00457B60" w:rsidRDefault="00457B60" w:rsidP="00457B60">
      <w:pPr>
        <w:spacing w:after="120" w:line="360" w:lineRule="auto"/>
        <w:ind w:left="1440" w:hanging="720"/>
        <w:jc w:val="both"/>
        <w:rPr>
          <w:rFonts w:ascii="David" w:hAnsi="David"/>
          <w:rtl/>
        </w:rPr>
      </w:pPr>
      <w:r>
        <w:rPr>
          <w:rFonts w:ascii="David" w:hAnsi="David"/>
          <w:rtl/>
        </w:rPr>
        <w:tab/>
        <w:t>בצדק נהג כך בית המשפט, ולו אף מהטעמים שפירט המשיב בתשובתו לערעורים, כמפורט בסעיף 40 לעיל.</w:t>
      </w:r>
    </w:p>
    <w:p w:rsidR="00457B60" w:rsidRDefault="00457B60" w:rsidP="00457B60">
      <w:pPr>
        <w:spacing w:after="120" w:line="360" w:lineRule="auto"/>
        <w:ind w:left="1440" w:hanging="720"/>
        <w:jc w:val="both"/>
        <w:rPr>
          <w:rFonts w:ascii="David" w:hAnsi="David"/>
          <w:rtl/>
        </w:rPr>
      </w:pPr>
      <w:r>
        <w:rPr>
          <w:rFonts w:ascii="David" w:hAnsi="David"/>
          <w:rtl/>
        </w:rPr>
        <w:tab/>
        <w:t>אלה טענות נרחבות שמן הראוי לבררן בנפרד, במסגרת תובענה נפרדת שיגיש מי מהצדדים דנן, לבחינת תוקפו של הסכם החלוקה, אכיפתו או בטלותו, והיחס שבינו לבין הצוואה שבמחלוקת, לה ניתן צו קיום.</w:t>
      </w:r>
    </w:p>
    <w:p w:rsidR="00457B60" w:rsidRDefault="00457B60" w:rsidP="00457B60">
      <w:pPr>
        <w:spacing w:after="120" w:line="360" w:lineRule="auto"/>
        <w:ind w:left="1440"/>
        <w:jc w:val="both"/>
        <w:rPr>
          <w:rFonts w:ascii="David" w:hAnsi="David"/>
          <w:rtl/>
        </w:rPr>
      </w:pPr>
      <w:r>
        <w:rPr>
          <w:rFonts w:ascii="David" w:hAnsi="David"/>
          <w:rtl/>
        </w:rPr>
        <w:t>עמדה על כך השופטת קמא בפסק הדין (ראו סעיף 23 לעיל).</w:t>
      </w:r>
    </w:p>
    <w:p w:rsidR="00457B60" w:rsidRDefault="00457B60" w:rsidP="00457B60">
      <w:pPr>
        <w:spacing w:after="120" w:line="360" w:lineRule="auto"/>
        <w:ind w:left="1440"/>
        <w:jc w:val="both"/>
        <w:rPr>
          <w:rFonts w:ascii="David" w:hAnsi="David"/>
          <w:rtl/>
        </w:rPr>
      </w:pPr>
      <w:r>
        <w:rPr>
          <w:rFonts w:ascii="David" w:hAnsi="David"/>
          <w:rtl/>
        </w:rPr>
        <w:t>טענותיהם של המערערים בערעורם כנגד קביעה זאת של השופטת קמא בפסק הדין אינן משכנעות, ואין בכוחן למנוע בחינת תוקפה של הצוואה השלישית (הצוואה שבמחלוקת) כשלעצמה, לפי דיני הירושה.</w:t>
      </w:r>
    </w:p>
    <w:p w:rsidR="00457B60" w:rsidRDefault="00457B60" w:rsidP="00457B60">
      <w:pPr>
        <w:spacing w:after="120" w:line="360" w:lineRule="auto"/>
        <w:ind w:left="1440"/>
        <w:jc w:val="both"/>
        <w:rPr>
          <w:rFonts w:ascii="David" w:hAnsi="David"/>
          <w:rtl/>
        </w:rPr>
      </w:pPr>
      <w:r>
        <w:rPr>
          <w:rFonts w:ascii="David" w:hAnsi="David"/>
          <w:rtl/>
        </w:rPr>
        <w:t xml:space="preserve">יתכן שעובדת קיומו של הסכם החלוקה, ללא קשר לתוקפו המשפטי או שאלת היותו ניתן ליישום  ו/או אכיף, </w:t>
      </w:r>
      <w:r>
        <w:rPr>
          <w:rFonts w:ascii="David" w:hAnsi="David"/>
          <w:u w:val="single"/>
          <w:rtl/>
        </w:rPr>
        <w:t>יכול לשמש כטעם להעברת נטל השכנוע</w:t>
      </w:r>
      <w:r>
        <w:rPr>
          <w:rFonts w:ascii="David" w:hAnsi="David"/>
          <w:rtl/>
        </w:rPr>
        <w:t xml:space="preserve"> להוכחת כשרות הצוואה לכתפיו של </w:t>
      </w:r>
      <w:r w:rsidR="000F5BF7">
        <w:rPr>
          <w:rFonts w:ascii="David" w:hAnsi="David"/>
          <w:rtl/>
        </w:rPr>
        <w:t>ו'</w:t>
      </w:r>
      <w:r>
        <w:rPr>
          <w:rFonts w:ascii="David" w:hAnsi="David"/>
          <w:rtl/>
        </w:rPr>
        <w:t xml:space="preserve"> מבקש בקשת הקיום </w:t>
      </w:r>
      <w:r>
        <w:rPr>
          <w:rFonts w:ascii="David" w:hAnsi="David"/>
        </w:rPr>
        <w:t>)</w:t>
      </w:r>
      <w:r>
        <w:rPr>
          <w:rFonts w:ascii="David" w:hAnsi="David"/>
          <w:rtl/>
        </w:rPr>
        <w:t>בכך נדון להלן). ברם כאמור אין בכוחו של ההסכם האמור לשלול בחינת כשרותה של הצוואה שבמחלוקת.</w:t>
      </w:r>
    </w:p>
    <w:p w:rsidR="00457B60" w:rsidRDefault="00457B60" w:rsidP="00457B60">
      <w:pPr>
        <w:spacing w:after="120" w:line="360" w:lineRule="auto"/>
        <w:ind w:left="1440"/>
        <w:jc w:val="both"/>
        <w:rPr>
          <w:rFonts w:ascii="David" w:hAnsi="David"/>
          <w:rtl/>
        </w:rPr>
      </w:pPr>
      <w:r>
        <w:rPr>
          <w:rFonts w:ascii="David" w:hAnsi="David"/>
          <w:rtl/>
        </w:rPr>
        <w:t xml:space="preserve">לכן בנקודה זאת, כך לטעמי, לא טעה בית משפט קמא, כשהתמקד בבחינת כשרותה המשפטי של הצוואה שבמחלוקת לפי דיני הירושה, תוך הותרת הסכם החלוקה, ויחסו אל מול צו קיום הצוואה השלישית (ככל שיש מחלוקת ביניהם) לתביעה נפרדת בין הצדדים, בה ייבדק תוקפו של הסכם החלוקה ויחסו אל מול הצוואה שבמחלוקת שקוימה. </w:t>
      </w:r>
    </w:p>
    <w:p w:rsidR="00457B60" w:rsidRDefault="00457B60" w:rsidP="00457B60">
      <w:pPr>
        <w:spacing w:after="120" w:line="360" w:lineRule="auto"/>
        <w:ind w:left="1440"/>
        <w:jc w:val="both"/>
        <w:rPr>
          <w:rFonts w:ascii="David" w:hAnsi="David"/>
          <w:rtl/>
        </w:rPr>
      </w:pPr>
      <w:r>
        <w:rPr>
          <w:rFonts w:ascii="David" w:hAnsi="David"/>
          <w:rtl/>
        </w:rPr>
        <w:t xml:space="preserve">מכאן כי חלק מטענות המערערים שנטענו בערעורם (מניעות ו/או השתק ו/או חוסר תום לב ו/או היות צו הקיום של הצוואה שבמחלוקת בגדר "אות מתה" אל מול הסכם החלוקה שיישומו כבר החל, ו/או עמדותיו של </w:t>
      </w:r>
      <w:r w:rsidR="000F5BF7">
        <w:rPr>
          <w:rFonts w:ascii="David" w:hAnsi="David"/>
          <w:rtl/>
        </w:rPr>
        <w:t>ו'</w:t>
      </w:r>
      <w:r>
        <w:rPr>
          <w:rFonts w:ascii="David" w:hAnsi="David"/>
          <w:rtl/>
        </w:rPr>
        <w:t xml:space="preserve"> בחקירתו במשטרה ובחקירתו הנגדית לעניין הסכם החלוקה ו/או הצוואה שבמחלוקת), ראויים להתברר בתובענה החדשה, שכאמור אמורה, בין היתר, לבחון את היחס שבין הסכם החלוקה לצוואה שבמחלוקת.</w:t>
      </w:r>
    </w:p>
    <w:p w:rsidR="00457B60" w:rsidRDefault="00457B60" w:rsidP="00457B60">
      <w:pPr>
        <w:spacing w:after="120" w:line="360" w:lineRule="auto"/>
        <w:jc w:val="both"/>
        <w:rPr>
          <w:rFonts w:ascii="David" w:hAnsi="David"/>
          <w:rtl/>
        </w:rPr>
      </w:pPr>
      <w:r>
        <w:rPr>
          <w:rFonts w:ascii="David" w:hAnsi="David"/>
          <w:rtl/>
        </w:rPr>
        <w:lastRenderedPageBreak/>
        <w:tab/>
        <w:t>ב.</w:t>
      </w:r>
      <w:r>
        <w:rPr>
          <w:rFonts w:ascii="David" w:hAnsi="David"/>
          <w:rtl/>
        </w:rPr>
        <w:tab/>
        <w:t>בדחייתו את טענת השיהוי שטענו לה שני הצדדים, כמפורט בסעיף 15 לעיל.</w:t>
      </w:r>
    </w:p>
    <w:p w:rsidR="00457B60" w:rsidRDefault="00457B60" w:rsidP="00457B60">
      <w:pPr>
        <w:spacing w:after="120" w:line="360" w:lineRule="auto"/>
        <w:ind w:left="1440"/>
        <w:jc w:val="both"/>
        <w:rPr>
          <w:rFonts w:ascii="David" w:hAnsi="David"/>
          <w:rtl/>
        </w:rPr>
      </w:pPr>
      <w:r>
        <w:rPr>
          <w:rFonts w:ascii="David" w:hAnsi="David"/>
          <w:rtl/>
        </w:rPr>
        <w:t xml:space="preserve">לא מצאתי בקביעותיו של בית משפט קמא בפסק הדין טעות שתחייב את התערבות ערכאת הערעור, בדחותו את טענת השיהוי שטענו לה </w:t>
      </w:r>
      <w:r>
        <w:rPr>
          <w:rFonts w:ascii="David" w:hAnsi="David"/>
          <w:u w:val="single"/>
          <w:rtl/>
        </w:rPr>
        <w:t>שני הצדדים.</w:t>
      </w:r>
    </w:p>
    <w:p w:rsidR="00457B60" w:rsidRDefault="00457B60" w:rsidP="00457B60">
      <w:pPr>
        <w:spacing w:after="120" w:line="360" w:lineRule="auto"/>
        <w:ind w:left="1440"/>
        <w:jc w:val="both"/>
        <w:rPr>
          <w:rFonts w:ascii="David" w:hAnsi="David"/>
          <w:rtl/>
        </w:rPr>
      </w:pPr>
      <w:r>
        <w:rPr>
          <w:rFonts w:ascii="David" w:hAnsi="David"/>
          <w:rtl/>
        </w:rPr>
        <w:t>כידוע, חסימת דרכו של תובע מפאת הטענה לשיהוי הינה צעד דרסטי [</w:t>
      </w:r>
      <w:r w:rsidRPr="00A0376F">
        <w:rPr>
          <w:rFonts w:ascii="David" w:hAnsi="David"/>
          <w:rtl/>
        </w:rPr>
        <w:t>ע"א 6805/99</w:t>
      </w:r>
      <w:r>
        <w:rPr>
          <w:rFonts w:ascii="David" w:hAnsi="David"/>
          <w:rtl/>
        </w:rPr>
        <w:t xml:space="preserve"> </w:t>
      </w:r>
      <w:r>
        <w:rPr>
          <w:rFonts w:ascii="David" w:hAnsi="David" w:hint="cs"/>
          <w:b/>
          <w:bCs/>
          <w:rtl/>
        </w:rPr>
        <w:t>תלמוד תורה הכללי והישיבה הגדולה עץ חיים בירושלים נ' הוועדה המקומית לתכנון ולבנייה, ירושלים</w:t>
      </w:r>
      <w:r>
        <w:rPr>
          <w:rFonts w:ascii="David" w:hAnsi="David" w:hint="cs"/>
          <w:rtl/>
        </w:rPr>
        <w:t xml:space="preserve">, פ"ד נז(5) 433, 445 (2003) (להלן: </w:t>
      </w:r>
      <w:r>
        <w:rPr>
          <w:rFonts w:ascii="David" w:hAnsi="David" w:hint="cs"/>
          <w:b/>
          <w:bCs/>
          <w:rtl/>
        </w:rPr>
        <w:t>"עניין תלמוד תורה"</w:t>
      </w:r>
      <w:r>
        <w:rPr>
          <w:rFonts w:ascii="David" w:hAnsi="David" w:hint="cs"/>
          <w:rtl/>
        </w:rPr>
        <w:t>)].</w:t>
      </w:r>
    </w:p>
    <w:p w:rsidR="00457B60" w:rsidRDefault="00457B60" w:rsidP="00457B60">
      <w:pPr>
        <w:spacing w:after="120" w:line="360" w:lineRule="auto"/>
        <w:ind w:left="720" w:firstLine="720"/>
        <w:jc w:val="both"/>
        <w:rPr>
          <w:rFonts w:ascii="David" w:hAnsi="David"/>
          <w:rtl/>
        </w:rPr>
      </w:pPr>
      <w:r>
        <w:rPr>
          <w:rFonts w:ascii="David" w:hAnsi="David"/>
          <w:u w:val="single"/>
          <w:rtl/>
        </w:rPr>
        <w:t>קבלת טענה זו אפשרית בהתקיים שני תנאים</w:t>
      </w:r>
      <w:r>
        <w:rPr>
          <w:rFonts w:ascii="David" w:hAnsi="David"/>
          <w:rtl/>
        </w:rPr>
        <w:t>:</w:t>
      </w:r>
    </w:p>
    <w:p w:rsidR="00457B60" w:rsidRDefault="00457B60" w:rsidP="00457B60">
      <w:pPr>
        <w:spacing w:after="120" w:line="360" w:lineRule="auto"/>
        <w:ind w:left="720" w:firstLine="720"/>
        <w:jc w:val="both"/>
        <w:rPr>
          <w:rFonts w:ascii="David" w:hAnsi="David"/>
          <w:rtl/>
        </w:rPr>
      </w:pPr>
      <w:r>
        <w:rPr>
          <w:rFonts w:ascii="David" w:hAnsi="David"/>
          <w:b/>
          <w:bCs/>
          <w:rtl/>
        </w:rPr>
        <w:t>הראשון</w:t>
      </w:r>
      <w:r>
        <w:rPr>
          <w:rFonts w:ascii="David" w:hAnsi="David"/>
          <w:rtl/>
        </w:rPr>
        <w:t xml:space="preserve"> – שעה שמהשיהוי נכון להסיק כי התובע זנח את תביעתו: </w:t>
      </w:r>
    </w:p>
    <w:p w:rsidR="00457B60" w:rsidRDefault="00457B60" w:rsidP="00457B60">
      <w:pPr>
        <w:spacing w:after="120" w:line="360" w:lineRule="auto"/>
        <w:ind w:left="2160" w:right="993"/>
        <w:jc w:val="both"/>
        <w:rPr>
          <w:rFonts w:ascii="David" w:hAnsi="David"/>
          <w:b/>
          <w:bCs/>
          <w:rtl/>
        </w:rPr>
      </w:pPr>
      <w:r>
        <w:rPr>
          <w:rFonts w:ascii="David" w:hAnsi="David"/>
          <w:b/>
          <w:bCs/>
          <w:rtl/>
        </w:rPr>
        <w:t>"איחור בהגשת תביעה הוא כשלעצמו אינו מעיד על ויתורו או מחילתו של התובע על זכות התביעה. השתהות בתחום תקופת ההתיישנות הינה זכותו של המתדיין, והיא עשויה לעתים לשמש אמצעי חשוב בדרך לפתרון המחלוקת מחוץ לערכאות, לפיכך קיימת דרישה לקיום מצג ברור מצד התובע על אודות ויתור או מחילה מצדו על זכות התביעה הנתונה לו"</w:t>
      </w:r>
      <w:r>
        <w:rPr>
          <w:rFonts w:ascii="David" w:hAnsi="David"/>
          <w:rtl/>
        </w:rPr>
        <w:t>(</w:t>
      </w:r>
      <w:r>
        <w:rPr>
          <w:rFonts w:ascii="David" w:hAnsi="David"/>
          <w:b/>
          <w:bCs/>
          <w:rtl/>
        </w:rPr>
        <w:t>עניין תלמוד תורה</w:t>
      </w:r>
      <w:r>
        <w:rPr>
          <w:rFonts w:ascii="David" w:hAnsi="David"/>
          <w:rtl/>
        </w:rPr>
        <w:t>,</w:t>
      </w:r>
      <w:r>
        <w:rPr>
          <w:rFonts w:ascii="David" w:hAnsi="David"/>
          <w:b/>
          <w:bCs/>
          <w:rtl/>
        </w:rPr>
        <w:t xml:space="preserve"> </w:t>
      </w:r>
      <w:r>
        <w:rPr>
          <w:rFonts w:ascii="David" w:hAnsi="David"/>
          <w:rtl/>
        </w:rPr>
        <w:t>עמ' 446).</w:t>
      </w:r>
    </w:p>
    <w:p w:rsidR="00457B60" w:rsidRDefault="00457B60" w:rsidP="00457B60">
      <w:pPr>
        <w:spacing w:after="120" w:line="360" w:lineRule="auto"/>
        <w:ind w:left="720" w:firstLine="720"/>
        <w:jc w:val="both"/>
        <w:rPr>
          <w:rFonts w:ascii="David" w:hAnsi="David"/>
          <w:rtl/>
        </w:rPr>
      </w:pPr>
      <w:r>
        <w:rPr>
          <w:rFonts w:ascii="David" w:hAnsi="David"/>
          <w:b/>
          <w:bCs/>
          <w:rtl/>
        </w:rPr>
        <w:t>השני</w:t>
      </w:r>
      <w:r>
        <w:rPr>
          <w:rFonts w:ascii="David" w:hAnsi="David"/>
          <w:rtl/>
        </w:rPr>
        <w:t xml:space="preserve"> – בקיומה של הרעה במצב הנתבע בשל שיהוי זה:</w:t>
      </w:r>
    </w:p>
    <w:p w:rsidR="00457B60" w:rsidRDefault="00457B60" w:rsidP="00457B60">
      <w:pPr>
        <w:spacing w:after="120" w:line="360" w:lineRule="auto"/>
        <w:ind w:left="2160" w:right="993"/>
        <w:jc w:val="both"/>
        <w:rPr>
          <w:rFonts w:ascii="David" w:hAnsi="David"/>
          <w:rtl/>
        </w:rPr>
      </w:pPr>
      <w:r>
        <w:rPr>
          <w:rFonts w:ascii="David" w:hAnsi="David"/>
          <w:b/>
          <w:bCs/>
          <w:rtl/>
        </w:rPr>
        <w:t xml:space="preserve">"התנאי בדבר שינוי מצב לרעה של הנתבע אחוז ושלוב בדרישה כי שינוי כאמור ינבע מהתנהגותו הבלתי ראויה של התובע. אין הרי שינוי מצב לרעה של נתבע בשל שינוי בנסיבות אובייקטיביות שאינן תלויות בתובע, כהרי שינוי הנובע מהתנהגות התובע" </w:t>
      </w:r>
      <w:r>
        <w:rPr>
          <w:rFonts w:ascii="David" w:hAnsi="David"/>
          <w:rtl/>
        </w:rPr>
        <w:t>(</w:t>
      </w:r>
      <w:r>
        <w:rPr>
          <w:rFonts w:ascii="David" w:hAnsi="David"/>
          <w:b/>
          <w:bCs/>
          <w:rtl/>
        </w:rPr>
        <w:t>עניין תלמוד תורה</w:t>
      </w:r>
      <w:r>
        <w:rPr>
          <w:rFonts w:ascii="David" w:hAnsi="David"/>
          <w:rtl/>
        </w:rPr>
        <w:t>, עמ' 446).</w:t>
      </w:r>
    </w:p>
    <w:p w:rsidR="00457B60" w:rsidRDefault="00457B60" w:rsidP="00457B60">
      <w:pPr>
        <w:spacing w:after="120" w:line="360" w:lineRule="auto"/>
        <w:ind w:left="720" w:firstLine="720"/>
        <w:rPr>
          <w:rFonts w:ascii="David" w:hAnsi="David"/>
          <w:rtl/>
        </w:rPr>
      </w:pPr>
      <w:r>
        <w:rPr>
          <w:rFonts w:ascii="David" w:hAnsi="David"/>
          <w:u w:val="single"/>
          <w:rtl/>
        </w:rPr>
        <w:t>ראו עוד לעניין זה</w:t>
      </w:r>
      <w:r>
        <w:rPr>
          <w:rFonts w:ascii="David" w:hAnsi="David"/>
          <w:rtl/>
        </w:rPr>
        <w:t>:</w:t>
      </w:r>
    </w:p>
    <w:p w:rsidR="00457B60" w:rsidRDefault="00457B60" w:rsidP="00457B60">
      <w:pPr>
        <w:spacing w:after="120" w:line="360" w:lineRule="auto"/>
        <w:ind w:left="1440"/>
        <w:rPr>
          <w:rFonts w:ascii="David" w:hAnsi="David"/>
          <w:rtl/>
        </w:rPr>
      </w:pPr>
      <w:r w:rsidRPr="00A0376F">
        <w:rPr>
          <w:rFonts w:ascii="David" w:hAnsi="David"/>
          <w:rtl/>
        </w:rPr>
        <w:t>ע"א 4682/92</w:t>
      </w:r>
      <w:r>
        <w:rPr>
          <w:rFonts w:ascii="David" w:hAnsi="David"/>
          <w:rtl/>
        </w:rPr>
        <w:t xml:space="preserve"> </w:t>
      </w:r>
      <w:r>
        <w:rPr>
          <w:rFonts w:ascii="David" w:hAnsi="David" w:hint="cs"/>
          <w:b/>
          <w:bCs/>
          <w:rtl/>
        </w:rPr>
        <w:t xml:space="preserve">עזבון המנוח </w:t>
      </w:r>
      <w:r w:rsidR="000F5BF7">
        <w:rPr>
          <w:rFonts w:ascii="David" w:hAnsi="David" w:hint="cs"/>
          <w:b/>
          <w:bCs/>
          <w:rtl/>
        </w:rPr>
        <w:t>ס</w:t>
      </w:r>
      <w:r w:rsidR="000F5BF7">
        <w:rPr>
          <w:rFonts w:ascii="David" w:hAnsi="David"/>
          <w:b/>
          <w:bCs/>
          <w:rtl/>
        </w:rPr>
        <w:t>'</w:t>
      </w:r>
      <w:r>
        <w:rPr>
          <w:rFonts w:ascii="David" w:hAnsi="David" w:hint="cs"/>
          <w:b/>
          <w:bCs/>
          <w:rtl/>
        </w:rPr>
        <w:t xml:space="preserve"> עזרא שעיה ז"ל נ' בית טלטש בע"מ</w:t>
      </w:r>
      <w:r>
        <w:rPr>
          <w:rFonts w:ascii="David" w:hAnsi="David" w:hint="cs"/>
          <w:rtl/>
        </w:rPr>
        <w:t xml:space="preserve">, פ"ד נד(5) 252, 280 (2000); </w:t>
      </w:r>
    </w:p>
    <w:p w:rsidR="00457B60" w:rsidRDefault="00457B60" w:rsidP="00457B60">
      <w:pPr>
        <w:spacing w:after="120" w:line="360" w:lineRule="auto"/>
        <w:ind w:left="720" w:firstLine="720"/>
        <w:rPr>
          <w:rFonts w:ascii="David" w:hAnsi="David"/>
          <w:rtl/>
        </w:rPr>
      </w:pPr>
      <w:r w:rsidRPr="00A0376F">
        <w:rPr>
          <w:rFonts w:ascii="David" w:hAnsi="David"/>
          <w:rtl/>
        </w:rPr>
        <w:t>ע"א 5793/96</w:t>
      </w:r>
      <w:r>
        <w:rPr>
          <w:rFonts w:ascii="David" w:hAnsi="David"/>
          <w:rtl/>
        </w:rPr>
        <w:t xml:space="preserve"> </w:t>
      </w:r>
      <w:r>
        <w:rPr>
          <w:rFonts w:ascii="David" w:hAnsi="David" w:hint="cs"/>
          <w:b/>
          <w:bCs/>
          <w:rtl/>
        </w:rPr>
        <w:t>חיים נ' חיים</w:t>
      </w:r>
      <w:r>
        <w:rPr>
          <w:rFonts w:ascii="David" w:hAnsi="David" w:hint="cs"/>
          <w:rtl/>
        </w:rPr>
        <w:t>, פ"ד נא(5) 625, 635 (1997);</w:t>
      </w:r>
    </w:p>
    <w:p w:rsidR="00457B60" w:rsidRDefault="00457B60" w:rsidP="00457B60">
      <w:pPr>
        <w:spacing w:after="120" w:line="360" w:lineRule="auto"/>
        <w:ind w:left="720" w:firstLine="720"/>
        <w:jc w:val="both"/>
        <w:rPr>
          <w:rFonts w:ascii="David" w:hAnsi="David"/>
          <w:rtl/>
        </w:rPr>
      </w:pPr>
      <w:r w:rsidRPr="00A0376F">
        <w:rPr>
          <w:rFonts w:ascii="David" w:hAnsi="David"/>
          <w:rtl/>
        </w:rPr>
        <w:t>ע"א 403/63</w:t>
      </w:r>
      <w:r>
        <w:rPr>
          <w:rFonts w:ascii="David" w:hAnsi="David"/>
          <w:rtl/>
        </w:rPr>
        <w:t xml:space="preserve"> </w:t>
      </w:r>
      <w:r>
        <w:rPr>
          <w:rFonts w:ascii="David" w:hAnsi="David" w:hint="cs"/>
          <w:b/>
          <w:bCs/>
          <w:rtl/>
        </w:rPr>
        <w:t>תמיר נ' שמאלי</w:t>
      </w:r>
      <w:r>
        <w:rPr>
          <w:rFonts w:ascii="David" w:hAnsi="David" w:hint="cs"/>
          <w:rtl/>
        </w:rPr>
        <w:t xml:space="preserve">, פ"ד יח(1) 47, עמ' 53; </w:t>
      </w:r>
    </w:p>
    <w:p w:rsidR="00457B60" w:rsidRDefault="00457B60" w:rsidP="00457B60">
      <w:pPr>
        <w:spacing w:after="120" w:line="360" w:lineRule="auto"/>
        <w:ind w:left="1440"/>
        <w:jc w:val="both"/>
        <w:rPr>
          <w:rFonts w:ascii="David" w:hAnsi="David"/>
          <w:rtl/>
        </w:rPr>
      </w:pPr>
      <w:r w:rsidRPr="00A0376F">
        <w:rPr>
          <w:rFonts w:ascii="David" w:hAnsi="David"/>
          <w:rtl/>
        </w:rPr>
        <w:t>ע"א 410/87</w:t>
      </w:r>
      <w:r>
        <w:rPr>
          <w:rFonts w:ascii="David" w:hAnsi="David"/>
          <w:rtl/>
        </w:rPr>
        <w:t xml:space="preserve"> </w:t>
      </w:r>
      <w:r>
        <w:rPr>
          <w:rFonts w:ascii="David" w:hAnsi="David" w:hint="cs"/>
          <w:b/>
          <w:bCs/>
          <w:rtl/>
        </w:rPr>
        <w:t>עיזבון המנוחה רבקה ליברמן ז"ל ע"י יורשיה נ' יונג</w:t>
      </w:r>
      <w:r>
        <w:rPr>
          <w:rFonts w:ascii="David" w:hAnsi="David" w:hint="cs"/>
          <w:rtl/>
        </w:rPr>
        <w:t xml:space="preserve">ר, פ"ד מה(3) 749, 755-756). </w:t>
      </w:r>
    </w:p>
    <w:p w:rsidR="00457B60" w:rsidRDefault="00457B60" w:rsidP="00457B60">
      <w:pPr>
        <w:spacing w:after="120" w:line="360" w:lineRule="auto"/>
        <w:ind w:left="1440"/>
        <w:jc w:val="both"/>
        <w:rPr>
          <w:rFonts w:ascii="David" w:hAnsi="David"/>
          <w:rtl/>
        </w:rPr>
      </w:pPr>
      <w:r>
        <w:rPr>
          <w:rFonts w:ascii="David" w:hAnsi="David"/>
          <w:rtl/>
        </w:rPr>
        <w:t xml:space="preserve">בנסיבות דנן המתוארות בהרחבה לעיל, לא מתקיימים שני תנאי </w:t>
      </w:r>
      <w:r>
        <w:rPr>
          <w:rFonts w:ascii="David" w:hAnsi="David"/>
          <w:b/>
          <w:bCs/>
          <w:rtl/>
        </w:rPr>
        <w:t>ענין תלמוד תורה</w:t>
      </w:r>
      <w:r>
        <w:rPr>
          <w:rFonts w:ascii="David" w:hAnsi="David"/>
          <w:rtl/>
        </w:rPr>
        <w:t>, מהם נוכל להסיק ולקבוע במקרה דנן כי עסקינן בשיהוי בהגשת התובענה.</w:t>
      </w:r>
    </w:p>
    <w:p w:rsidR="00457B60" w:rsidRDefault="00457B60" w:rsidP="00457B60">
      <w:pPr>
        <w:spacing w:after="120" w:line="360" w:lineRule="auto"/>
        <w:ind w:left="1440"/>
        <w:jc w:val="both"/>
        <w:rPr>
          <w:rFonts w:ascii="David" w:hAnsi="David"/>
          <w:rtl/>
        </w:rPr>
      </w:pPr>
      <w:r>
        <w:rPr>
          <w:rFonts w:ascii="David" w:hAnsi="David"/>
          <w:rtl/>
        </w:rPr>
        <w:t xml:space="preserve">שני הצדדים לא נהגו בשקיפות, שלא לומר בתום לב, בהוצאת צו הירושה בבית הדין הכנסייתי,  כשבבקשה ציינו שהמנוח לא הותיר אחריו צוואה, ולא גילו את שתי הצוואות הראשונות שהיו ידועות להם (ראו סעיף 5 ו-22 לעיל). </w:t>
      </w:r>
    </w:p>
    <w:p w:rsidR="00457B60" w:rsidRDefault="00457B60" w:rsidP="00457B60">
      <w:pPr>
        <w:spacing w:after="120" w:line="360" w:lineRule="auto"/>
        <w:ind w:left="1440"/>
        <w:jc w:val="both"/>
        <w:rPr>
          <w:rFonts w:ascii="David" w:hAnsi="David"/>
          <w:rtl/>
        </w:rPr>
      </w:pPr>
      <w:r>
        <w:rPr>
          <w:rFonts w:ascii="David" w:hAnsi="David"/>
          <w:rtl/>
        </w:rPr>
        <w:lastRenderedPageBreak/>
        <w:t>בכל אופן, וכך מורה ההלכה, גם כאשר מתקיימים המבחנים האמורים, עדיין עומד לבית המשפט שיקול דעת להכריע בדבר המשמעות שראוי להעניק לטענת השיהוי במקרה הספציפי שלפניו [</w:t>
      </w:r>
      <w:r w:rsidRPr="00A0376F">
        <w:rPr>
          <w:rFonts w:ascii="David" w:hAnsi="David"/>
          <w:rtl/>
        </w:rPr>
        <w:t>ע"א 2576/03</w:t>
      </w:r>
      <w:r>
        <w:rPr>
          <w:rFonts w:ascii="David" w:hAnsi="David"/>
          <w:rtl/>
        </w:rPr>
        <w:t xml:space="preserve"> </w:t>
      </w:r>
      <w:r>
        <w:rPr>
          <w:rFonts w:ascii="David" w:hAnsi="David" w:hint="cs"/>
          <w:b/>
          <w:bCs/>
          <w:rtl/>
        </w:rPr>
        <w:t>וינברג נ' האפוטרופוס לנכסי נפקדים</w:t>
      </w:r>
      <w:r>
        <w:rPr>
          <w:rFonts w:ascii="David" w:hAnsi="David" w:hint="cs"/>
          <w:rtl/>
        </w:rPr>
        <w:t xml:space="preserve"> (21.7.2007)]. </w:t>
      </w:r>
    </w:p>
    <w:p w:rsidR="00457B60" w:rsidRDefault="00457B60" w:rsidP="00457B60">
      <w:pPr>
        <w:spacing w:after="120" w:line="360" w:lineRule="auto"/>
        <w:ind w:left="1440"/>
        <w:jc w:val="both"/>
        <w:rPr>
          <w:rFonts w:ascii="David" w:hAnsi="David"/>
          <w:rtl/>
        </w:rPr>
      </w:pPr>
      <w:r>
        <w:rPr>
          <w:rFonts w:ascii="David" w:hAnsi="David"/>
          <w:rtl/>
        </w:rPr>
        <w:t xml:space="preserve">בנסיבות דנן דברי בית המשפט בדחיית טענת השיהוי לה טענו שני הצדדים (ראו סעיף 15 לעיל) מלמדים, ובצדק, כי חשוב היה לברר את טענות הצדדים לגבי תוקפה או כשרותה או בטלותה של הצוואה שבמחלוקת לגופן, ואפילו הוגשה הבקשה לקיום הצוואה, ו/או הבקשה לביטול צו הקיום, תוך שיהוי. כאמור הדבר בכל מקרה בשיקול דעתו של בית המשפט. </w:t>
      </w:r>
    </w:p>
    <w:p w:rsidR="00457B60" w:rsidRDefault="00457B60" w:rsidP="00457B60">
      <w:pPr>
        <w:spacing w:after="120" w:line="360" w:lineRule="auto"/>
        <w:ind w:left="1440"/>
        <w:jc w:val="both"/>
        <w:rPr>
          <w:rFonts w:ascii="David" w:hAnsi="David"/>
          <w:rtl/>
        </w:rPr>
      </w:pPr>
      <w:r>
        <w:rPr>
          <w:rFonts w:ascii="David" w:hAnsi="David"/>
          <w:rtl/>
        </w:rPr>
        <w:t>לכן כאמור, אין מקום להתערב בקביעת בית המשפט בדחותו בפסק הדין את טענת השיהוי שטענו לה שני הצדדים.</w:t>
      </w:r>
    </w:p>
    <w:p w:rsidR="00457B60" w:rsidRDefault="00457B60" w:rsidP="00457B60">
      <w:pPr>
        <w:spacing w:after="120" w:line="360" w:lineRule="auto"/>
        <w:ind w:left="1440"/>
        <w:jc w:val="both"/>
        <w:rPr>
          <w:rFonts w:ascii="David" w:hAnsi="David"/>
          <w:rtl/>
        </w:rPr>
      </w:pPr>
      <w:r>
        <w:rPr>
          <w:rFonts w:ascii="David" w:hAnsi="David"/>
          <w:rtl/>
        </w:rPr>
        <w:t xml:space="preserve">יחד עם זאת, יתכן ש"האיחור" במציאת הצוואה שבמחלוקת בנסיבות המקרה דנן, יכול לשמש טעם להעברת נטל השכנוע להוכחת כשרותה של הצוואה על כתפיו של </w:t>
      </w:r>
      <w:r w:rsidR="000F5BF7">
        <w:rPr>
          <w:rFonts w:ascii="David" w:hAnsi="David"/>
          <w:rtl/>
        </w:rPr>
        <w:t>ו'</w:t>
      </w:r>
      <w:r>
        <w:rPr>
          <w:rFonts w:ascii="David" w:hAnsi="David"/>
          <w:rtl/>
        </w:rPr>
        <w:t xml:space="preserve"> (ובכך נדון להלן). </w:t>
      </w:r>
    </w:p>
    <w:p w:rsidR="00457B60" w:rsidRDefault="00457B60" w:rsidP="00457B60">
      <w:pPr>
        <w:spacing w:after="120" w:line="360" w:lineRule="auto"/>
        <w:ind w:left="1440" w:hanging="720"/>
        <w:jc w:val="both"/>
        <w:rPr>
          <w:rFonts w:ascii="David" w:hAnsi="David"/>
          <w:rtl/>
        </w:rPr>
      </w:pPr>
      <w:r>
        <w:rPr>
          <w:rFonts w:ascii="David" w:hAnsi="David"/>
          <w:rtl/>
        </w:rPr>
        <w:t>ג.</w:t>
      </w:r>
      <w:r>
        <w:rPr>
          <w:rFonts w:ascii="David" w:hAnsi="David"/>
          <w:rtl/>
        </w:rPr>
        <w:tab/>
        <w:t xml:space="preserve">אין גם מקום לקבל את טענות יורשי </w:t>
      </w:r>
      <w:r w:rsidR="000F5BF7">
        <w:rPr>
          <w:rFonts w:ascii="David" w:hAnsi="David"/>
          <w:rtl/>
        </w:rPr>
        <w:t>ס'</w:t>
      </w:r>
      <w:r>
        <w:rPr>
          <w:rFonts w:ascii="David" w:hAnsi="David"/>
          <w:rtl/>
        </w:rPr>
        <w:t xml:space="preserve"> בערעורם, כי בית משפט קמא התעלם מהודאותיו של </w:t>
      </w:r>
      <w:r w:rsidR="000F5BF7">
        <w:rPr>
          <w:rFonts w:ascii="David" w:hAnsi="David"/>
          <w:rtl/>
        </w:rPr>
        <w:t>ו'</w:t>
      </w:r>
      <w:r>
        <w:rPr>
          <w:rFonts w:ascii="David" w:hAnsi="David"/>
          <w:rtl/>
        </w:rPr>
        <w:t xml:space="preserve"> בבטלות הצוואה ו/או ויתורו עליה (ראו סעיפים 33 ו-36 לעיל).</w:t>
      </w:r>
    </w:p>
    <w:p w:rsidR="00457B60" w:rsidRDefault="00457B60" w:rsidP="00457B60">
      <w:pPr>
        <w:spacing w:after="120" w:line="360" w:lineRule="auto"/>
        <w:ind w:left="1440" w:hanging="720"/>
        <w:jc w:val="both"/>
        <w:rPr>
          <w:rFonts w:ascii="David" w:hAnsi="David"/>
          <w:rtl/>
        </w:rPr>
      </w:pPr>
      <w:r>
        <w:rPr>
          <w:rFonts w:ascii="David" w:hAnsi="David"/>
          <w:rtl/>
        </w:rPr>
        <w:tab/>
      </w:r>
      <w:r>
        <w:rPr>
          <w:rFonts w:ascii="David" w:hAnsi="David"/>
          <w:u w:val="single"/>
          <w:rtl/>
        </w:rPr>
        <w:t>בנדון יש התייחסות מפורשת של בית משפט לטענות הנ"ל, כמופיע בסעיף 94(ב) לפסק הדין כדלקמן</w:t>
      </w:r>
      <w:r>
        <w:rPr>
          <w:rFonts w:ascii="David" w:hAnsi="David"/>
          <w:rtl/>
        </w:rPr>
        <w:t>:</w:t>
      </w:r>
    </w:p>
    <w:p w:rsidR="00457B60" w:rsidRDefault="00457B60" w:rsidP="00457B60">
      <w:pPr>
        <w:spacing w:after="120" w:line="360" w:lineRule="auto"/>
        <w:ind w:left="2160" w:right="709"/>
        <w:jc w:val="both"/>
        <w:rPr>
          <w:rFonts w:ascii="David" w:hAnsi="David"/>
          <w:b/>
          <w:bCs/>
          <w:rtl/>
        </w:rPr>
      </w:pPr>
      <w:r>
        <w:rPr>
          <w:rFonts w:ascii="David" w:hAnsi="David"/>
          <w:b/>
          <w:bCs/>
          <w:rtl/>
        </w:rPr>
        <w:t xml:space="preserve">"יש להבחין בין הסכמת האחים לחלוקת העיזבון, לבין הסתלקות יורש מחלקו בעיזבון.  </w:t>
      </w:r>
    </w:p>
    <w:p w:rsidR="00457B60" w:rsidRDefault="00457B60" w:rsidP="00457B60">
      <w:pPr>
        <w:spacing w:after="120" w:line="360" w:lineRule="auto"/>
        <w:ind w:left="2160" w:right="709"/>
        <w:jc w:val="both"/>
        <w:rPr>
          <w:rFonts w:ascii="David" w:hAnsi="David"/>
          <w:b/>
          <w:bCs/>
          <w:rtl/>
        </w:rPr>
      </w:pPr>
      <w:r>
        <w:rPr>
          <w:rFonts w:ascii="David" w:hAnsi="David"/>
          <w:b/>
          <w:bCs/>
          <w:rtl/>
        </w:rPr>
        <w:t xml:space="preserve">הגם כי המסמך שנחתם ע"י הצדדים נושא כותרת 'הצהרה', הרי שהוא לא נערך על דרך של תצהיר ולא נחתם בפני עו"ד, בניגוד לקבוע בתקנה 16 (ב) לתקנות הירושה... </w:t>
      </w:r>
    </w:p>
    <w:p w:rsidR="00457B60" w:rsidRDefault="00457B60" w:rsidP="00457B60">
      <w:pPr>
        <w:spacing w:after="120" w:line="360" w:lineRule="auto"/>
        <w:ind w:left="2160" w:right="709"/>
        <w:jc w:val="both"/>
        <w:rPr>
          <w:rFonts w:ascii="David" w:hAnsi="David"/>
          <w:rtl/>
        </w:rPr>
      </w:pPr>
      <w:r>
        <w:rPr>
          <w:rFonts w:ascii="David" w:hAnsi="David"/>
          <w:b/>
          <w:bCs/>
          <w:rtl/>
        </w:rPr>
        <w:t xml:space="preserve">כן לא הוגשה הודעה כדין אודות 'ההסתלקות' לערכאה המוסמכת, בניגוד לתקנה  16 (א) לתקנות הירושה. שאחרת, לא היה ביה"ד הכנסייתי קובע מפורשות בפסק דינו, כי הצדדים הסתירו ממנו את דבר קיומן של צוואות. מכאן, שהצדדים לא הציגו בפני ביה"ד ו/או הביאו לידיעתו גם את דבר "ההסתלקות" של </w:t>
      </w:r>
      <w:r w:rsidR="000F5BF7">
        <w:rPr>
          <w:rFonts w:ascii="David" w:hAnsi="David"/>
          <w:b/>
          <w:bCs/>
          <w:rtl/>
        </w:rPr>
        <w:t>ו'</w:t>
      </w:r>
      <w:r>
        <w:rPr>
          <w:rFonts w:ascii="David" w:hAnsi="David"/>
          <w:b/>
          <w:bCs/>
          <w:rtl/>
        </w:rPr>
        <w:t xml:space="preserve"> מחלקו בעיזבון..."</w:t>
      </w:r>
      <w:r>
        <w:rPr>
          <w:rFonts w:ascii="David" w:hAnsi="David"/>
          <w:rtl/>
        </w:rPr>
        <w:t>.</w:t>
      </w:r>
    </w:p>
    <w:p w:rsidR="00457B60" w:rsidRDefault="00457B60" w:rsidP="00457B60">
      <w:pPr>
        <w:spacing w:after="120" w:line="360" w:lineRule="auto"/>
        <w:ind w:left="1440"/>
        <w:jc w:val="both"/>
        <w:rPr>
          <w:rFonts w:ascii="David" w:hAnsi="David"/>
          <w:rtl/>
        </w:rPr>
      </w:pPr>
      <w:r>
        <w:rPr>
          <w:rFonts w:ascii="David" w:hAnsi="David"/>
          <w:rtl/>
        </w:rPr>
        <w:t>בקביעות אלה של בית משפט קמא לא נפלה טעות המחייבת התערבות של ערכאת הערעור.</w:t>
      </w:r>
    </w:p>
    <w:p w:rsidR="00457B60" w:rsidRDefault="00457B60" w:rsidP="00457B60">
      <w:pPr>
        <w:spacing w:after="120" w:line="360" w:lineRule="auto"/>
        <w:ind w:left="1440"/>
        <w:jc w:val="both"/>
        <w:rPr>
          <w:rFonts w:ascii="David" w:hAnsi="David"/>
          <w:rtl/>
        </w:rPr>
      </w:pPr>
      <w:r>
        <w:rPr>
          <w:rFonts w:ascii="David" w:hAnsi="David"/>
          <w:rtl/>
        </w:rPr>
        <w:t xml:space="preserve">יחד עם זאת – להסכם החלוקה, כמו גם לאמירותיו של </w:t>
      </w:r>
      <w:r w:rsidR="000F5BF7">
        <w:rPr>
          <w:rFonts w:ascii="David" w:hAnsi="David"/>
          <w:rtl/>
        </w:rPr>
        <w:t>ו'</w:t>
      </w:r>
      <w:r>
        <w:rPr>
          <w:rFonts w:ascii="David" w:hAnsi="David"/>
          <w:rtl/>
        </w:rPr>
        <w:t xml:space="preserve"> במשטרה וחקירתו בבית המשפט על אודות הצוואה ו/או הסכמתו לחלוקת עזבון המנוח בהתאם להסכם החלוקה, יכול להיות משקל בכל התדיינות עתידית נפרדת, בסוגיית הסכם החלוקה ותוקפו מול הוראות הצוואה שבמחלוקת שקוימה. </w:t>
      </w:r>
    </w:p>
    <w:p w:rsidR="00457B60" w:rsidRDefault="00457B60" w:rsidP="00457B60">
      <w:pPr>
        <w:spacing w:after="120" w:line="360" w:lineRule="auto"/>
        <w:ind w:left="720" w:hanging="720"/>
        <w:jc w:val="both"/>
        <w:rPr>
          <w:rFonts w:ascii="David" w:hAnsi="David"/>
          <w:rtl/>
        </w:rPr>
      </w:pPr>
      <w:r>
        <w:rPr>
          <w:rFonts w:ascii="David" w:hAnsi="David"/>
          <w:rtl/>
        </w:rPr>
        <w:lastRenderedPageBreak/>
        <w:t>57.</w:t>
      </w:r>
      <w:r>
        <w:rPr>
          <w:rFonts w:ascii="David" w:hAnsi="David"/>
          <w:rtl/>
        </w:rPr>
        <w:tab/>
      </w:r>
      <w:r>
        <w:rPr>
          <w:rFonts w:ascii="David" w:hAnsi="David"/>
          <w:u w:val="single"/>
          <w:rtl/>
        </w:rPr>
        <w:t xml:space="preserve">פסק הדין קמא, בחלק העוסק בבחינת כשרותה של הצוואה, לרבות אי מעורבותו של </w:t>
      </w:r>
      <w:r w:rsidR="000F5BF7">
        <w:rPr>
          <w:rFonts w:ascii="David" w:hAnsi="David"/>
          <w:u w:val="single"/>
          <w:rtl/>
        </w:rPr>
        <w:t>ו'</w:t>
      </w:r>
      <w:r>
        <w:rPr>
          <w:rFonts w:ascii="David" w:hAnsi="David"/>
          <w:u w:val="single"/>
          <w:rtl/>
        </w:rPr>
        <w:t xml:space="preserve"> בעריכתה וכשרותו של המנוח לצוות (סעיפים 17-21 לעיל), הכריע לחובת המערערים משני טעמים עיקריים</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t>א.</w:t>
      </w:r>
      <w:r>
        <w:rPr>
          <w:rFonts w:ascii="David" w:hAnsi="David"/>
          <w:rtl/>
        </w:rPr>
        <w:tab/>
        <w:t xml:space="preserve">עדותו של </w:t>
      </w:r>
      <w:r w:rsidR="000F5BF7">
        <w:rPr>
          <w:rFonts w:ascii="David" w:hAnsi="David"/>
          <w:rtl/>
        </w:rPr>
        <w:t>ר'</w:t>
      </w:r>
      <w:r>
        <w:rPr>
          <w:rFonts w:ascii="David" w:hAnsi="David"/>
          <w:rtl/>
        </w:rPr>
        <w:t>, בה נתן בית משפט קמא אמון מלא;</w:t>
      </w:r>
    </w:p>
    <w:p w:rsidR="00457B60" w:rsidRDefault="00457B60" w:rsidP="00457B60">
      <w:pPr>
        <w:spacing w:after="120" w:line="360" w:lineRule="auto"/>
        <w:ind w:left="1440" w:hanging="720"/>
        <w:jc w:val="both"/>
        <w:rPr>
          <w:rFonts w:ascii="David" w:hAnsi="David"/>
          <w:rtl/>
        </w:rPr>
      </w:pPr>
      <w:r>
        <w:rPr>
          <w:rFonts w:ascii="David" w:hAnsi="David"/>
          <w:rtl/>
        </w:rPr>
        <w:t>ב.</w:t>
      </w:r>
      <w:r>
        <w:rPr>
          <w:rFonts w:ascii="David" w:hAnsi="David"/>
          <w:rtl/>
        </w:rPr>
        <w:tab/>
        <w:t xml:space="preserve">אי עמידה של המערערים בנטל הראיה והשכנוע להוכחת טענותיהם בדבר אי כשרותה של הצוואה ואי כשרותו של המנוח לצוות. </w:t>
      </w:r>
    </w:p>
    <w:p w:rsidR="00457B60" w:rsidRDefault="00457B60" w:rsidP="00457B60">
      <w:pPr>
        <w:spacing w:after="120" w:line="360" w:lineRule="auto"/>
        <w:ind w:left="720" w:hanging="720"/>
        <w:jc w:val="both"/>
        <w:rPr>
          <w:rFonts w:ascii="David" w:hAnsi="David"/>
          <w:rtl/>
        </w:rPr>
      </w:pPr>
      <w:r>
        <w:rPr>
          <w:rFonts w:ascii="David" w:hAnsi="David"/>
          <w:rtl/>
        </w:rPr>
        <w:t>58.</w:t>
      </w:r>
      <w:r>
        <w:rPr>
          <w:rFonts w:ascii="David" w:hAnsi="David"/>
          <w:rtl/>
        </w:rPr>
        <w:tab/>
      </w:r>
      <w:r>
        <w:rPr>
          <w:rFonts w:ascii="David" w:hAnsi="David"/>
          <w:u w:val="single"/>
          <w:rtl/>
        </w:rPr>
        <w:t>במסגרת הערעור דנן, לרבות בבקשה לראיות חדשות בערעור (אותה המלצתי לחבריי לקבל), תוקפים המערערים את שני הטעמים הנ"ל של בית משפט קמא, כדלקמן</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t>א.</w:t>
      </w:r>
      <w:r>
        <w:rPr>
          <w:rFonts w:ascii="David" w:hAnsi="David"/>
          <w:rtl/>
        </w:rPr>
        <w:tab/>
        <w:t xml:space="preserve">לגבי מתן אמון מלא בעדותו של </w:t>
      </w:r>
      <w:r w:rsidR="000F5BF7">
        <w:rPr>
          <w:rFonts w:ascii="David" w:hAnsi="David"/>
          <w:rtl/>
        </w:rPr>
        <w:t>ר'</w:t>
      </w:r>
      <w:r>
        <w:rPr>
          <w:rFonts w:ascii="David" w:hAnsi="David"/>
          <w:rtl/>
        </w:rPr>
        <w:t xml:space="preserve"> בדבר נסיבות עריכת הצוואות, מודעותו של המנוח לשינוי בצוואה שבמחלוקת לעומת הצוואות הקודמות (בה נישל את שני בניו המערערים, וקביעת </w:t>
      </w:r>
      <w:r w:rsidR="000F5BF7">
        <w:rPr>
          <w:rFonts w:ascii="David" w:hAnsi="David"/>
          <w:rtl/>
        </w:rPr>
        <w:t>ו'</w:t>
      </w:r>
      <w:r>
        <w:rPr>
          <w:rFonts w:ascii="David" w:hAnsi="David"/>
          <w:rtl/>
        </w:rPr>
        <w:t xml:space="preserve"> כזוכה יחיד של עזבונו, ללא סיבה נראית לעין) ואי מעורבותו של </w:t>
      </w:r>
      <w:r w:rsidR="000F5BF7">
        <w:rPr>
          <w:rFonts w:ascii="David" w:hAnsi="David"/>
          <w:rtl/>
        </w:rPr>
        <w:t>ו'</w:t>
      </w:r>
      <w:r>
        <w:rPr>
          <w:rFonts w:ascii="David" w:hAnsi="David"/>
          <w:rtl/>
        </w:rPr>
        <w:t xml:space="preserve"> בעריכת הצוואה, טוענים המערערים, כי יש צורך לבחון עדותו של </w:t>
      </w:r>
      <w:r w:rsidR="000F5BF7">
        <w:rPr>
          <w:rFonts w:ascii="David" w:hAnsi="David"/>
          <w:rtl/>
        </w:rPr>
        <w:t>ר'</w:t>
      </w:r>
      <w:r>
        <w:rPr>
          <w:rFonts w:ascii="David" w:hAnsi="David"/>
          <w:rtl/>
        </w:rPr>
        <w:t xml:space="preserve"> מחדש לנוכח גילוי ייצוגו את </w:t>
      </w:r>
      <w:r w:rsidR="000F5BF7">
        <w:rPr>
          <w:rFonts w:ascii="David" w:hAnsi="David"/>
          <w:rtl/>
        </w:rPr>
        <w:t>ו'</w:t>
      </w:r>
      <w:r>
        <w:rPr>
          <w:rFonts w:ascii="David" w:hAnsi="David"/>
          <w:rtl/>
        </w:rPr>
        <w:t xml:space="preserve"> בסכסוך האחים, ואף להעידו בשנית על כך (הבקשה לראיות נוספות בערעור). </w:t>
      </w:r>
    </w:p>
    <w:p w:rsidR="00457B60" w:rsidRDefault="00457B60" w:rsidP="00457B60">
      <w:pPr>
        <w:spacing w:after="120" w:line="360" w:lineRule="auto"/>
        <w:ind w:left="1440" w:hanging="720"/>
        <w:jc w:val="both"/>
        <w:rPr>
          <w:rFonts w:ascii="David" w:hAnsi="David"/>
          <w:rtl/>
        </w:rPr>
      </w:pPr>
      <w:r>
        <w:rPr>
          <w:rFonts w:ascii="David" w:hAnsi="David"/>
          <w:rtl/>
        </w:rPr>
        <w:tab/>
      </w:r>
      <w:r>
        <w:rPr>
          <w:rFonts w:ascii="David" w:hAnsi="David"/>
          <w:b/>
          <w:bCs/>
          <w:rtl/>
        </w:rPr>
        <w:t>כפי שקבעתי לעיל, דעתי היא כי גם מכוחן של הראיות החדשות בערעור, יש להחזיר את ההליך לבית משפט קמא לבחינת השאלות הנובעות מקבלת הראיות החדשות</w:t>
      </w:r>
      <w:r>
        <w:rPr>
          <w:rFonts w:ascii="David" w:hAnsi="David"/>
          <w:rtl/>
        </w:rPr>
        <w:t xml:space="preserve">; </w:t>
      </w:r>
      <w:r>
        <w:rPr>
          <w:rFonts w:ascii="David" w:hAnsi="David"/>
          <w:b/>
          <w:bCs/>
          <w:rtl/>
        </w:rPr>
        <w:t xml:space="preserve">לרבות שקילת העדתו של </w:t>
      </w:r>
      <w:r w:rsidR="000F5BF7">
        <w:rPr>
          <w:rFonts w:ascii="David" w:hAnsi="David"/>
          <w:b/>
          <w:bCs/>
          <w:rtl/>
        </w:rPr>
        <w:t>ר'</w:t>
      </w:r>
      <w:r>
        <w:rPr>
          <w:rFonts w:ascii="David" w:hAnsi="David"/>
          <w:b/>
          <w:bCs/>
          <w:rtl/>
        </w:rPr>
        <w:t xml:space="preserve"> בשנית (לאחר קבלת עמדות הצדדים) ושקילת מהימנותו מחדש</w:t>
      </w:r>
      <w:r>
        <w:rPr>
          <w:rFonts w:ascii="David" w:hAnsi="David"/>
          <w:rtl/>
        </w:rPr>
        <w:t xml:space="preserve"> (ראו בנדון דבריי לעיל תחת הפרק "בקשה להתיר הבאת ראיות נוספות בערעור"). </w:t>
      </w:r>
    </w:p>
    <w:p w:rsidR="00457B60" w:rsidRDefault="00457B60" w:rsidP="00457B60">
      <w:pPr>
        <w:spacing w:after="120" w:line="360" w:lineRule="auto"/>
        <w:ind w:left="1440" w:hanging="720"/>
        <w:jc w:val="both"/>
        <w:rPr>
          <w:rFonts w:ascii="David" w:hAnsi="David"/>
          <w:rtl/>
        </w:rPr>
      </w:pPr>
      <w:r>
        <w:rPr>
          <w:rFonts w:ascii="David" w:hAnsi="David"/>
          <w:rtl/>
        </w:rPr>
        <w:t>ב.</w:t>
      </w:r>
      <w:r>
        <w:rPr>
          <w:rFonts w:ascii="David" w:hAnsi="David"/>
          <w:rtl/>
        </w:rPr>
        <w:tab/>
        <w:t xml:space="preserve">באשר לנטל השכנוע, טוענים המערערים, כי בנסיבות המצטברות דנן, המטילים ספק בכשרותה של הצוואה ו/או בכשרותו של המצווה, היה על בית המשפט להטיל את נטל השכנוע על כתפיו של </w:t>
      </w:r>
      <w:r w:rsidR="000F5BF7">
        <w:rPr>
          <w:rFonts w:ascii="David" w:hAnsi="David"/>
          <w:rtl/>
        </w:rPr>
        <w:t>ו'</w:t>
      </w:r>
      <w:r>
        <w:rPr>
          <w:rFonts w:ascii="David" w:hAnsi="David"/>
          <w:rtl/>
        </w:rPr>
        <w:t xml:space="preserve">, ועסקינן בנטל ראייתי הגבוה ממאזני ההסתברות (ראו בנדון סעיף 27 לעיל).   </w:t>
      </w:r>
    </w:p>
    <w:p w:rsidR="00457B60" w:rsidRDefault="00457B60" w:rsidP="00457B60">
      <w:pPr>
        <w:spacing w:after="120" w:line="360" w:lineRule="auto"/>
        <w:ind w:left="1440" w:hanging="720"/>
        <w:jc w:val="both"/>
        <w:rPr>
          <w:rFonts w:ascii="David" w:hAnsi="David"/>
          <w:b/>
          <w:bCs/>
          <w:rtl/>
        </w:rPr>
      </w:pPr>
      <w:r>
        <w:rPr>
          <w:rFonts w:ascii="David" w:hAnsi="David"/>
          <w:rtl/>
        </w:rPr>
        <w:tab/>
      </w:r>
      <w:r>
        <w:rPr>
          <w:rFonts w:ascii="David" w:hAnsi="David"/>
          <w:b/>
          <w:bCs/>
          <w:rtl/>
        </w:rPr>
        <w:t>סבורני כי גם בטענתם זאת צודקים המערערים, כפי שאפרט להלן.</w:t>
      </w:r>
    </w:p>
    <w:p w:rsidR="00457B60" w:rsidRDefault="00457B60" w:rsidP="00457B60">
      <w:pPr>
        <w:spacing w:after="120" w:line="360" w:lineRule="auto"/>
        <w:ind w:left="720" w:hanging="720"/>
        <w:jc w:val="both"/>
        <w:rPr>
          <w:rFonts w:ascii="David" w:hAnsi="David"/>
          <w:rtl/>
        </w:rPr>
      </w:pPr>
      <w:r>
        <w:rPr>
          <w:rFonts w:ascii="David" w:hAnsi="David"/>
          <w:rtl/>
        </w:rPr>
        <w:t>59.</w:t>
      </w:r>
      <w:r>
        <w:rPr>
          <w:rFonts w:ascii="David" w:hAnsi="David"/>
          <w:rtl/>
        </w:rPr>
        <w:tab/>
      </w:r>
      <w:r>
        <w:rPr>
          <w:rFonts w:ascii="David" w:hAnsi="David"/>
          <w:u w:val="single"/>
          <w:rtl/>
        </w:rPr>
        <w:t xml:space="preserve">אבחן את טענתם של המערערים לעניין העברת נטל השכנוע לכתפיו של </w:t>
      </w:r>
      <w:r w:rsidR="000F5BF7">
        <w:rPr>
          <w:rFonts w:ascii="David" w:hAnsi="David"/>
          <w:u w:val="single"/>
          <w:rtl/>
        </w:rPr>
        <w:t>ו'</w:t>
      </w:r>
      <w:r>
        <w:rPr>
          <w:rFonts w:ascii="David" w:hAnsi="David"/>
          <w:u w:val="single"/>
          <w:rtl/>
        </w:rPr>
        <w:t>, לגבי כל אחד מהנושאים הבאים</w:t>
      </w:r>
      <w:r>
        <w:rPr>
          <w:rFonts w:ascii="David" w:hAnsi="David"/>
          <w:rtl/>
        </w:rPr>
        <w:t>:</w:t>
      </w:r>
    </w:p>
    <w:p w:rsidR="00457B60" w:rsidRDefault="00457B60" w:rsidP="00457B60">
      <w:pPr>
        <w:spacing w:after="120" w:line="360" w:lineRule="auto"/>
        <w:ind w:left="720" w:hanging="720"/>
        <w:jc w:val="both"/>
        <w:rPr>
          <w:rFonts w:ascii="David" w:hAnsi="David"/>
          <w:rtl/>
        </w:rPr>
      </w:pPr>
      <w:r>
        <w:rPr>
          <w:rFonts w:ascii="David" w:hAnsi="David"/>
          <w:rtl/>
        </w:rPr>
        <w:tab/>
        <w:t>א.</w:t>
      </w:r>
      <w:r>
        <w:rPr>
          <w:rFonts w:ascii="David" w:hAnsi="David"/>
          <w:rtl/>
        </w:rPr>
        <w:tab/>
        <w:t>פגמים צורניים בצוואה שבמחלוקת;</w:t>
      </w:r>
    </w:p>
    <w:p w:rsidR="00457B60" w:rsidRDefault="00457B60" w:rsidP="00457B60">
      <w:pPr>
        <w:spacing w:after="120" w:line="360" w:lineRule="auto"/>
        <w:ind w:left="720" w:hanging="720"/>
        <w:jc w:val="both"/>
        <w:rPr>
          <w:rFonts w:ascii="David" w:hAnsi="David"/>
          <w:rtl/>
        </w:rPr>
      </w:pPr>
      <w:r>
        <w:rPr>
          <w:rFonts w:ascii="David" w:hAnsi="David"/>
          <w:rtl/>
        </w:rPr>
        <w:tab/>
        <w:t>ב.</w:t>
      </w:r>
      <w:r>
        <w:rPr>
          <w:rFonts w:ascii="David" w:hAnsi="David"/>
          <w:rtl/>
        </w:rPr>
        <w:tab/>
        <w:t xml:space="preserve">אי מעורבותו של </w:t>
      </w:r>
      <w:r w:rsidR="000F5BF7">
        <w:rPr>
          <w:rFonts w:ascii="David" w:hAnsi="David"/>
          <w:rtl/>
        </w:rPr>
        <w:t>ו'</w:t>
      </w:r>
      <w:r>
        <w:rPr>
          <w:rFonts w:ascii="David" w:hAnsi="David"/>
          <w:rtl/>
        </w:rPr>
        <w:t xml:space="preserve"> בעריכת הצוואה;</w:t>
      </w:r>
    </w:p>
    <w:p w:rsidR="00457B60" w:rsidRDefault="00457B60" w:rsidP="00457B60">
      <w:pPr>
        <w:spacing w:after="120" w:line="360" w:lineRule="auto"/>
        <w:ind w:left="720" w:hanging="720"/>
        <w:jc w:val="both"/>
        <w:rPr>
          <w:rFonts w:ascii="David" w:hAnsi="David"/>
          <w:rtl/>
        </w:rPr>
      </w:pPr>
      <w:r>
        <w:rPr>
          <w:rFonts w:ascii="David" w:hAnsi="David"/>
          <w:rtl/>
        </w:rPr>
        <w:tab/>
        <w:t>ג.</w:t>
      </w:r>
      <w:r>
        <w:rPr>
          <w:rFonts w:ascii="David" w:hAnsi="David"/>
          <w:rtl/>
        </w:rPr>
        <w:tab/>
        <w:t>השפעה בלתי הוגנת;</w:t>
      </w:r>
    </w:p>
    <w:p w:rsidR="00457B60" w:rsidRDefault="00457B60" w:rsidP="00457B60">
      <w:pPr>
        <w:spacing w:after="120" w:line="360" w:lineRule="auto"/>
        <w:ind w:left="720" w:hanging="720"/>
        <w:jc w:val="both"/>
        <w:rPr>
          <w:rFonts w:ascii="David" w:hAnsi="David"/>
          <w:rtl/>
        </w:rPr>
      </w:pPr>
      <w:r>
        <w:rPr>
          <w:rFonts w:ascii="David" w:hAnsi="David"/>
          <w:rtl/>
        </w:rPr>
        <w:tab/>
        <w:t>ד.</w:t>
      </w:r>
      <w:r>
        <w:rPr>
          <w:rFonts w:ascii="David" w:hAnsi="David"/>
          <w:rtl/>
        </w:rPr>
        <w:tab/>
        <w:t>כשרותו של המנוח לצוות במועד עריכת הצוואה שבמחלוקת.</w:t>
      </w:r>
    </w:p>
    <w:p w:rsidR="00457B60" w:rsidRDefault="00457B60" w:rsidP="00457B60">
      <w:pPr>
        <w:spacing w:after="120" w:line="360" w:lineRule="auto"/>
        <w:ind w:left="720" w:hanging="720"/>
        <w:jc w:val="both"/>
        <w:rPr>
          <w:rFonts w:ascii="David" w:hAnsi="David"/>
          <w:rtl/>
        </w:rPr>
      </w:pPr>
      <w:r>
        <w:rPr>
          <w:rFonts w:ascii="David" w:hAnsi="David"/>
          <w:rtl/>
        </w:rPr>
        <w:t>60.</w:t>
      </w:r>
      <w:r>
        <w:rPr>
          <w:rFonts w:ascii="David" w:hAnsi="David"/>
          <w:rtl/>
        </w:rPr>
        <w:tab/>
      </w:r>
      <w:r>
        <w:rPr>
          <w:rFonts w:ascii="David" w:hAnsi="David"/>
          <w:b/>
          <w:bCs/>
          <w:u w:val="single"/>
          <w:rtl/>
        </w:rPr>
        <w:t>פגמים צורניים בצוואה שבמחלוקת</w:t>
      </w:r>
      <w:r>
        <w:rPr>
          <w:rFonts w:ascii="David" w:hAnsi="David"/>
          <w:rtl/>
        </w:rPr>
        <w:tab/>
      </w:r>
    </w:p>
    <w:p w:rsidR="00457B60" w:rsidRDefault="00457B60" w:rsidP="00457B60">
      <w:pPr>
        <w:spacing w:after="120" w:line="360" w:lineRule="auto"/>
        <w:ind w:left="1440" w:hanging="720"/>
        <w:jc w:val="both"/>
        <w:rPr>
          <w:rFonts w:ascii="David" w:hAnsi="David"/>
          <w:rtl/>
        </w:rPr>
      </w:pPr>
      <w:r>
        <w:rPr>
          <w:rFonts w:ascii="David" w:hAnsi="David"/>
          <w:rtl/>
        </w:rPr>
        <w:t>א.</w:t>
      </w:r>
      <w:r>
        <w:rPr>
          <w:rFonts w:ascii="David" w:hAnsi="David"/>
          <w:rtl/>
        </w:rPr>
        <w:tab/>
      </w:r>
      <w:r w:rsidR="000F5BF7">
        <w:rPr>
          <w:rFonts w:ascii="David" w:hAnsi="David"/>
          <w:rtl/>
        </w:rPr>
        <w:t>מ'</w:t>
      </w:r>
      <w:r>
        <w:rPr>
          <w:rFonts w:ascii="David" w:hAnsi="David"/>
          <w:rtl/>
        </w:rPr>
        <w:t xml:space="preserve"> בערעורו (שנתמך בכתב התשובה של יורשי </w:t>
      </w:r>
      <w:r w:rsidR="000F5BF7">
        <w:rPr>
          <w:rFonts w:ascii="David" w:hAnsi="David"/>
          <w:rtl/>
        </w:rPr>
        <w:t>ס'</w:t>
      </w:r>
      <w:r>
        <w:rPr>
          <w:rFonts w:ascii="David" w:hAnsi="David"/>
          <w:rtl/>
        </w:rPr>
        <w:t xml:space="preserve"> לערעור) טען לפגמים מהותיים, ולמצער צורניים, מצטברים, בצוואה שבמחלוקת.</w:t>
      </w:r>
    </w:p>
    <w:p w:rsidR="00457B60" w:rsidRDefault="00457B60" w:rsidP="00457B60">
      <w:pPr>
        <w:spacing w:after="120" w:line="360" w:lineRule="auto"/>
        <w:ind w:left="1440" w:hanging="720"/>
        <w:jc w:val="both"/>
        <w:rPr>
          <w:rFonts w:ascii="David" w:hAnsi="David"/>
          <w:rtl/>
        </w:rPr>
      </w:pPr>
      <w:r>
        <w:rPr>
          <w:rFonts w:ascii="David" w:hAnsi="David"/>
          <w:rtl/>
        </w:rPr>
        <w:lastRenderedPageBreak/>
        <w:tab/>
        <w:t>לטענתו הפגמים בצוואה שבמחלוקת מתחילים בנסיבות מעמד החתימה של המנוח על צוואה זאת (ראו פירוט בסעיף 25 לעיל) ונמשכים בפגמים מהותיים, ולמצער צורניים בצוואה (ראו פירוט בסעיף 26 לעיל). לרבות</w:t>
      </w:r>
      <w:r w:rsidR="00470A97">
        <w:rPr>
          <w:rFonts w:ascii="David" w:hAnsi="David"/>
          <w:rtl/>
        </w:rPr>
        <w:t xml:space="preserve"> פטירתו של עד קיום אחד (ו</w:t>
      </w:r>
      <w:r w:rsidR="00470A97">
        <w:rPr>
          <w:rFonts w:ascii="David" w:hAnsi="David" w:hint="cs"/>
          <w:rtl/>
        </w:rPr>
        <w:t>. ע</w:t>
      </w:r>
      <w:r>
        <w:rPr>
          <w:rFonts w:ascii="David" w:hAnsi="David"/>
          <w:rtl/>
        </w:rPr>
        <w:t xml:space="preserve"> ז"ל)</w:t>
      </w:r>
      <w:r w:rsidR="00470A97">
        <w:rPr>
          <w:rFonts w:ascii="David" w:hAnsi="David"/>
          <w:rtl/>
        </w:rPr>
        <w:t xml:space="preserve"> ואי מתן אמון בעד הקיום השני</w:t>
      </w:r>
      <w:r w:rsidR="00470A97">
        <w:rPr>
          <w:rFonts w:ascii="David" w:hAnsi="David" w:hint="cs"/>
          <w:rtl/>
        </w:rPr>
        <w:t xml:space="preserve"> </w:t>
      </w:r>
      <w:r w:rsidR="00470A97">
        <w:rPr>
          <w:rFonts w:ascii="David" w:hAnsi="David"/>
          <w:rtl/>
        </w:rPr>
        <w:t>–</w:t>
      </w:r>
      <w:r w:rsidR="00470A97">
        <w:rPr>
          <w:rFonts w:ascii="David" w:hAnsi="David" w:hint="cs"/>
          <w:rtl/>
        </w:rPr>
        <w:t xml:space="preserve"> </w:t>
      </w:r>
      <w:r>
        <w:rPr>
          <w:rFonts w:ascii="David" w:hAnsi="David"/>
          <w:rtl/>
        </w:rPr>
        <w:t xml:space="preserve">העד מתא). </w:t>
      </w:r>
    </w:p>
    <w:p w:rsidR="00457B60" w:rsidRDefault="00457B60" w:rsidP="00457B60">
      <w:pPr>
        <w:spacing w:after="120" w:line="360" w:lineRule="auto"/>
        <w:ind w:left="1440"/>
        <w:jc w:val="both"/>
        <w:rPr>
          <w:rFonts w:ascii="David" w:hAnsi="David"/>
          <w:rtl/>
        </w:rPr>
      </w:pPr>
      <w:r>
        <w:rPr>
          <w:rFonts w:ascii="David" w:hAnsi="David"/>
          <w:rtl/>
        </w:rPr>
        <w:t xml:space="preserve">בנסיבות אלה </w:t>
      </w:r>
      <w:r>
        <w:rPr>
          <w:rFonts w:ascii="David" w:hAnsi="David"/>
          <w:u w:val="single"/>
          <w:rtl/>
        </w:rPr>
        <w:t>העד היחיד</w:t>
      </w:r>
      <w:r>
        <w:rPr>
          <w:rFonts w:ascii="David" w:hAnsi="David"/>
          <w:rtl/>
        </w:rPr>
        <w:t xml:space="preserve"> שיכול להעיד על נסיבות החתמת המנוח והעדים על הצוואה הוא רק </w:t>
      </w:r>
      <w:r w:rsidR="000F5BF7">
        <w:rPr>
          <w:rFonts w:ascii="David" w:hAnsi="David"/>
          <w:rtl/>
        </w:rPr>
        <w:t>ו'</w:t>
      </w:r>
      <w:r>
        <w:rPr>
          <w:rFonts w:ascii="David" w:hAnsi="David"/>
          <w:rtl/>
        </w:rPr>
        <w:t xml:space="preserve">, שהרי </w:t>
      </w:r>
      <w:r w:rsidR="000F5BF7">
        <w:rPr>
          <w:rFonts w:ascii="David" w:hAnsi="David"/>
          <w:rtl/>
        </w:rPr>
        <w:t>ר'</w:t>
      </w:r>
      <w:r>
        <w:rPr>
          <w:rFonts w:ascii="David" w:hAnsi="David"/>
          <w:rtl/>
        </w:rPr>
        <w:t xml:space="preserve"> רק ערך הצוואה ומסרה ל</w:t>
      </w:r>
      <w:r w:rsidR="000F5BF7">
        <w:rPr>
          <w:rFonts w:ascii="David" w:hAnsi="David"/>
          <w:rtl/>
        </w:rPr>
        <w:t>ו'</w:t>
      </w:r>
      <w:r>
        <w:rPr>
          <w:rFonts w:ascii="David" w:hAnsi="David"/>
          <w:rtl/>
        </w:rPr>
        <w:t xml:space="preserve">, אך לא החתים את המנוח ועדי הקיום עליה. </w:t>
      </w:r>
    </w:p>
    <w:p w:rsidR="00457B60" w:rsidRDefault="00457B60" w:rsidP="00457B60">
      <w:pPr>
        <w:spacing w:after="120" w:line="360" w:lineRule="auto"/>
        <w:ind w:left="1440" w:hanging="720"/>
        <w:jc w:val="both"/>
        <w:rPr>
          <w:rFonts w:ascii="David" w:hAnsi="David"/>
          <w:b/>
          <w:bCs/>
          <w:rtl/>
        </w:rPr>
      </w:pPr>
      <w:r>
        <w:rPr>
          <w:rFonts w:ascii="David" w:hAnsi="David"/>
          <w:rtl/>
        </w:rPr>
        <w:t>ב.</w:t>
      </w:r>
      <w:r>
        <w:rPr>
          <w:rFonts w:ascii="David" w:hAnsi="David"/>
          <w:rtl/>
        </w:rPr>
        <w:tab/>
      </w:r>
      <w:r>
        <w:rPr>
          <w:rFonts w:ascii="David" w:hAnsi="David"/>
          <w:b/>
          <w:bCs/>
          <w:rtl/>
        </w:rPr>
        <w:t xml:space="preserve">בכל הקשור לטענת הפגמים המהותיים – אקדים ואציין, כי אין בדעתי להתערב בקביעת בית משפט קמא, כי ראה בפגמים הנטענים, לכל היותר כפגמים צורניים בלבד הניתנים לתיקון בהתאם לסעיף 25 לחוק הירושה </w:t>
      </w:r>
      <w:r>
        <w:rPr>
          <w:rFonts w:ascii="David" w:hAnsi="David"/>
          <w:rtl/>
        </w:rPr>
        <w:t xml:space="preserve">(ראו סעיף 17 לעיל). </w:t>
      </w:r>
    </w:p>
    <w:p w:rsidR="00457B60" w:rsidRDefault="00457B60" w:rsidP="00457B60">
      <w:pPr>
        <w:spacing w:after="120" w:line="360" w:lineRule="auto"/>
        <w:ind w:left="1440" w:hanging="720"/>
        <w:jc w:val="both"/>
        <w:rPr>
          <w:rFonts w:ascii="David" w:hAnsi="David"/>
          <w:rtl/>
        </w:rPr>
      </w:pPr>
      <w:r>
        <w:rPr>
          <w:rFonts w:ascii="David" w:hAnsi="David"/>
          <w:rtl/>
        </w:rPr>
        <w:tab/>
        <w:t>היינו בית משפט קמא שוכנע כי המנוח חתם על הצוואה, כמו גם שני עדי הקיום (לא נתן אמון בעד</w:t>
      </w:r>
      <w:r>
        <w:rPr>
          <w:rFonts w:ascii="David" w:hAnsi="David"/>
          <w:b/>
          <w:bCs/>
          <w:rtl/>
        </w:rPr>
        <w:t>ו</w:t>
      </w:r>
      <w:r>
        <w:rPr>
          <w:rFonts w:ascii="David" w:hAnsi="David"/>
          <w:rtl/>
        </w:rPr>
        <w:t xml:space="preserve">תו של העד מתא, כי לא חתם על הצוואה שבמחלוקת, שכן בעדותו במשטרה ציין כי חתם על צוואה זאת). </w:t>
      </w:r>
    </w:p>
    <w:p w:rsidR="00457B60" w:rsidRDefault="00457B60" w:rsidP="00457B60">
      <w:pPr>
        <w:spacing w:after="120" w:line="360" w:lineRule="auto"/>
        <w:ind w:left="1440" w:hanging="720"/>
        <w:jc w:val="both"/>
        <w:rPr>
          <w:rFonts w:ascii="David" w:hAnsi="David"/>
          <w:rtl/>
        </w:rPr>
      </w:pPr>
      <w:r>
        <w:rPr>
          <w:rFonts w:ascii="David" w:hAnsi="David"/>
          <w:rtl/>
        </w:rPr>
        <w:t>ג.</w:t>
      </w:r>
      <w:r>
        <w:rPr>
          <w:rFonts w:ascii="David" w:hAnsi="David"/>
          <w:rtl/>
        </w:rPr>
        <w:tab/>
        <w:t xml:space="preserve">יחד עם זאת לטעמי, כגרסת המערערים (כמפורט בסעיפים 25-26 לעיל), אכן עסקינן בהצטברות של מרכיבים נעלמים הכרוכים אחר הצוואה שבמחלוקת, המלמדים לכאורה על פגמים צורניים אפשריים בצוואה שבמחלוקת, שחייבו או הצדיקו העברת נטל השכנוע לכתפיו של </w:t>
      </w:r>
      <w:r w:rsidR="000F5BF7">
        <w:rPr>
          <w:rFonts w:ascii="David" w:hAnsi="David"/>
          <w:rtl/>
        </w:rPr>
        <w:t>ו'</w:t>
      </w:r>
      <w:r>
        <w:rPr>
          <w:rFonts w:ascii="David" w:hAnsi="David"/>
          <w:rtl/>
        </w:rPr>
        <w:t xml:space="preserve">. </w:t>
      </w:r>
    </w:p>
    <w:p w:rsidR="00457B60" w:rsidRDefault="00457B60" w:rsidP="00457B60">
      <w:pPr>
        <w:spacing w:after="120" w:line="360" w:lineRule="auto"/>
        <w:ind w:left="1440" w:hanging="720"/>
        <w:jc w:val="both"/>
        <w:rPr>
          <w:rFonts w:ascii="David" w:hAnsi="David"/>
          <w:rtl/>
        </w:rPr>
      </w:pPr>
      <w:r>
        <w:rPr>
          <w:rFonts w:ascii="David" w:hAnsi="David"/>
          <w:rtl/>
        </w:rPr>
        <w:t>ד.</w:t>
      </w:r>
      <w:r>
        <w:rPr>
          <w:rFonts w:ascii="David" w:hAnsi="David"/>
          <w:rtl/>
        </w:rPr>
        <w:tab/>
      </w:r>
      <w:r>
        <w:rPr>
          <w:rFonts w:ascii="David" w:hAnsi="David"/>
          <w:u w:val="single"/>
          <w:rtl/>
        </w:rPr>
        <w:t xml:space="preserve">שאול שוחט, בספרו </w:t>
      </w:r>
      <w:r>
        <w:rPr>
          <w:rFonts w:ascii="David" w:hAnsi="David"/>
          <w:b/>
          <w:bCs/>
          <w:u w:val="single"/>
          <w:rtl/>
        </w:rPr>
        <w:t>פגמים בצוואות</w:t>
      </w:r>
      <w:r>
        <w:rPr>
          <w:rFonts w:ascii="David" w:hAnsi="David"/>
          <w:u w:val="single"/>
          <w:rtl/>
        </w:rPr>
        <w:t xml:space="preserve">, הוצאת סדן, מהדורה שלישית (להלן: </w:t>
      </w:r>
      <w:r>
        <w:rPr>
          <w:rFonts w:ascii="David" w:hAnsi="David"/>
          <w:b/>
          <w:bCs/>
          <w:u w:val="single"/>
          <w:rtl/>
        </w:rPr>
        <w:t>"שוחט"</w:t>
      </w:r>
      <w:r>
        <w:rPr>
          <w:rFonts w:ascii="David" w:hAnsi="David"/>
          <w:u w:val="single"/>
          <w:rtl/>
        </w:rPr>
        <w:t>), מציין כדלקמן</w:t>
      </w:r>
      <w:r>
        <w:rPr>
          <w:rFonts w:ascii="David" w:hAnsi="David"/>
          <w:rtl/>
        </w:rPr>
        <w:t>:</w:t>
      </w:r>
    </w:p>
    <w:p w:rsidR="00457B60" w:rsidRDefault="00457B60" w:rsidP="00457B60">
      <w:pPr>
        <w:spacing w:after="120" w:line="360" w:lineRule="auto"/>
        <w:ind w:left="2160" w:right="567"/>
        <w:jc w:val="both"/>
        <w:rPr>
          <w:rFonts w:ascii="David" w:hAnsi="David"/>
          <w:b/>
          <w:bCs/>
          <w:rtl/>
        </w:rPr>
      </w:pPr>
      <w:r>
        <w:rPr>
          <w:rFonts w:ascii="David" w:hAnsi="David"/>
          <w:b/>
          <w:bCs/>
          <w:rtl/>
        </w:rPr>
        <w:t>"הלכה פסוקה היא, שצוואה נראית תקינה מבחינה צורנית, חזקה עליה שמשקפת היא את רצונו החופשי והאמיתי של המצווה. מי שמבקש לפסול את הצוואה מסיבה כלשהי המוכרת בדין – עליו נטל השכנוע (חובת הראייה), כלומר עליו לשכנע שהצוואה אינה ביטוי לרצונו החופשי והאמיתי של המצווה. כלל זה אינו חל כל מקום שהצוואה אשר אותה מבקשים לקיים אינה כוללת את היסודות הצורניים הנדרשים בסעיפים 19, 20, 22, 23 לחוק. אם נתקיים פגם צורני כזה, שוב אין מקום לאותה חזקה שלפיה הצוואה משקפת את רצונו החופשי והאמיתי של המצווה. להיפך, קיומו של פגם או חסר מעלה את החשד שהצוואה דווקא אינה משקפת רצון כזה. עם זאת אין בכך כדי לפסול את הצוואה. המחוקק מאפשר לקיים את הצוואה חרף הפגם, אלא שנטל השכנוע (חובת הראייה) שבצוואת אמת עסקינן עובר אז אל שכמו של המבקש לקיימה, והוא שחייב לשכנע את בית המשפט שחרף הפגם, הצוואה הנה ביטוי לרצונו האמיתי והחופשי של המצווה, ובמקרה זה כל ספק יפעל לביטולה של הצוואה...</w:t>
      </w:r>
    </w:p>
    <w:p w:rsidR="00457B60" w:rsidRDefault="00457B60" w:rsidP="00457B60">
      <w:pPr>
        <w:spacing w:after="120" w:line="360" w:lineRule="auto"/>
        <w:ind w:left="2160" w:right="567"/>
        <w:jc w:val="both"/>
        <w:rPr>
          <w:rFonts w:ascii="David" w:hAnsi="David"/>
          <w:b/>
          <w:bCs/>
          <w:rtl/>
        </w:rPr>
      </w:pPr>
      <w:r>
        <w:rPr>
          <w:rFonts w:ascii="David" w:hAnsi="David"/>
          <w:b/>
          <w:bCs/>
          <w:rtl/>
        </w:rPr>
        <w:t xml:space="preserve">משעבר נטל השכנוע... אל מבקש הקיום, עליו להוכיח איפוא ללא כל ספק כי תוכן הצוואה הוא ביטוי לרצונו החופשי והאמיתי של המצווה. בבואו להרים נטל זה על </w:t>
      </w:r>
      <w:r>
        <w:rPr>
          <w:rFonts w:ascii="David" w:hAnsi="David"/>
          <w:b/>
          <w:bCs/>
          <w:rtl/>
        </w:rPr>
        <w:lastRenderedPageBreak/>
        <w:t>מבקש הקיום להוכיח את צלילות דעתו של המצווה, את היעדרה של השפעה בלתי הוגנת ואת היעדרם של כל יתר הפגמים הנזכרים בסעיף 30 לחוק הירושה ויש בהם כדי לפגוע בגמירת דעתו של המצווה אם נטען להתקיימותם...</w:t>
      </w:r>
    </w:p>
    <w:p w:rsidR="00457B60" w:rsidRDefault="00457B60" w:rsidP="00457B60">
      <w:pPr>
        <w:spacing w:after="120" w:line="360" w:lineRule="auto"/>
        <w:ind w:left="2160" w:right="567"/>
        <w:jc w:val="both"/>
        <w:rPr>
          <w:rFonts w:ascii="David" w:hAnsi="David"/>
          <w:rtl/>
        </w:rPr>
      </w:pPr>
      <w:r>
        <w:rPr>
          <w:rFonts w:ascii="David" w:hAnsi="David"/>
          <w:b/>
          <w:bCs/>
          <w:rtl/>
        </w:rPr>
        <w:t xml:space="preserve">לטעמנו אין מקום להרחיק לכת עד כדי הבחנה בין הפגמים השונים וחומרת פגימתם לעניין עצם העברת נטל השכנוע... הבחנה שכזו תביא לאי אחידות בפסיקה בכל הנוגע לאופי שיש ליחס לפגם זה או אחר, אם 'כבד' הוא ואם 'קל' יש להיצמד ללשונו של סעיף 25 לחוק הירושה ולהלכה הפסוקה שלפיהם כל פגם פורמלי, קטן כגדול, יש בו כדי להעביר את נטל השכנוע... והבחנות לגביו תשמשנה לקביעתן ולבחינתן של מידת נטל השכנוע... ושל דיות הראיות להרמתו" </w:t>
      </w:r>
      <w:r>
        <w:rPr>
          <w:rFonts w:ascii="David" w:hAnsi="David"/>
          <w:rtl/>
        </w:rPr>
        <w:t xml:space="preserve">(ציטוטים מעמודים 69-75). </w:t>
      </w:r>
    </w:p>
    <w:p w:rsidR="00457B60" w:rsidRDefault="00457B60" w:rsidP="00457B60">
      <w:pPr>
        <w:spacing w:after="120" w:line="360" w:lineRule="auto"/>
        <w:ind w:left="1440" w:hanging="720"/>
        <w:jc w:val="both"/>
        <w:rPr>
          <w:rFonts w:ascii="David" w:hAnsi="David"/>
          <w:rtl/>
        </w:rPr>
      </w:pPr>
      <w:r>
        <w:rPr>
          <w:rFonts w:ascii="David" w:hAnsi="David"/>
          <w:rtl/>
        </w:rPr>
        <w:t>ה.</w:t>
      </w:r>
      <w:r>
        <w:rPr>
          <w:rFonts w:ascii="David" w:hAnsi="David"/>
          <w:rtl/>
        </w:rPr>
        <w:tab/>
        <w:t xml:space="preserve">דבריו של המלומד שוחט בספרו הנ"ל שאומצו בפסיקה [ראו למשל: עמ"ש (חי') 589-12-18‏ </w:t>
      </w:r>
      <w:r>
        <w:rPr>
          <w:rFonts w:ascii="David" w:hAnsi="David"/>
          <w:b/>
          <w:bCs/>
          <w:rtl/>
        </w:rPr>
        <w:t>‏ ע.ע נ' א.ע</w:t>
      </w:r>
      <w:r>
        <w:rPr>
          <w:rFonts w:ascii="David" w:hAnsi="David"/>
          <w:rtl/>
        </w:rPr>
        <w:t xml:space="preserve"> (25.6.2019) (להלן: "</w:t>
      </w:r>
      <w:r>
        <w:rPr>
          <w:rFonts w:ascii="David" w:hAnsi="David"/>
          <w:b/>
          <w:bCs/>
          <w:rtl/>
        </w:rPr>
        <w:t>עניין ע.ע</w:t>
      </w:r>
      <w:r>
        <w:rPr>
          <w:rFonts w:ascii="David" w:hAnsi="David"/>
          <w:rtl/>
        </w:rPr>
        <w:t xml:space="preserve">"); עמ"ש (ב"ש) 57029-05-18‏ </w:t>
      </w:r>
      <w:r>
        <w:rPr>
          <w:rFonts w:ascii="David" w:hAnsi="David"/>
          <w:b/>
          <w:bCs/>
          <w:rtl/>
        </w:rPr>
        <w:t>מ.ס נ' א.ה</w:t>
      </w:r>
      <w:r>
        <w:rPr>
          <w:rFonts w:ascii="David" w:hAnsi="David"/>
          <w:rtl/>
        </w:rPr>
        <w:t xml:space="preserve"> (29.11.18)], היו צריכים לגרום לשופטת קמא, לנוכח הפגמים הנטענים של המערערים, שאינם "קלוטים מן האוויר", להעביר את נטל הראיה להוכחת כשרות הצוואה לכתפיו של </w:t>
      </w:r>
      <w:r w:rsidR="000F5BF7">
        <w:rPr>
          <w:rFonts w:ascii="David" w:hAnsi="David"/>
          <w:rtl/>
        </w:rPr>
        <w:t>ו'</w:t>
      </w:r>
      <w:r>
        <w:rPr>
          <w:rFonts w:ascii="David" w:hAnsi="David"/>
          <w:rtl/>
        </w:rPr>
        <w:t xml:space="preserve">. </w:t>
      </w:r>
    </w:p>
    <w:p w:rsidR="00457B60" w:rsidRDefault="00457B60" w:rsidP="00457B60">
      <w:pPr>
        <w:spacing w:after="120" w:line="360" w:lineRule="auto"/>
        <w:ind w:left="1440"/>
        <w:jc w:val="both"/>
        <w:rPr>
          <w:rFonts w:ascii="David" w:hAnsi="David"/>
          <w:u w:val="single"/>
          <w:rtl/>
        </w:rPr>
      </w:pPr>
      <w:r>
        <w:rPr>
          <w:rFonts w:ascii="David" w:hAnsi="David"/>
          <w:b/>
          <w:bCs/>
          <w:rtl/>
        </w:rPr>
        <w:t xml:space="preserve">משלא עשתה כן, טעתה ומן הראוי לקבל את הערעור בנקודה זאת, ולהחזיר את ההליך לבית משפט קמא לבחון את הכרעתו בשנית, כשהפעם נטל השכנוע יוטל על </w:t>
      </w:r>
      <w:r w:rsidR="000F5BF7">
        <w:rPr>
          <w:rFonts w:ascii="David" w:hAnsi="David"/>
          <w:b/>
          <w:bCs/>
          <w:rtl/>
        </w:rPr>
        <w:t>ו'</w:t>
      </w:r>
      <w:r>
        <w:rPr>
          <w:rFonts w:ascii="David" w:hAnsi="David"/>
          <w:b/>
          <w:bCs/>
          <w:rtl/>
        </w:rPr>
        <w:t xml:space="preserve">.  </w:t>
      </w:r>
    </w:p>
    <w:p w:rsidR="00457B60" w:rsidRDefault="00457B60" w:rsidP="00457B60">
      <w:pPr>
        <w:spacing w:after="120" w:line="360" w:lineRule="auto"/>
        <w:jc w:val="both"/>
        <w:rPr>
          <w:rFonts w:ascii="David" w:hAnsi="David"/>
          <w:rtl/>
        </w:rPr>
      </w:pPr>
      <w:r>
        <w:rPr>
          <w:rFonts w:ascii="David" w:hAnsi="David"/>
          <w:rtl/>
        </w:rPr>
        <w:tab/>
        <w:t>ו.</w:t>
      </w:r>
      <w:r>
        <w:rPr>
          <w:rFonts w:ascii="David" w:hAnsi="David"/>
          <w:rtl/>
        </w:rPr>
        <w:tab/>
      </w:r>
      <w:r>
        <w:rPr>
          <w:rFonts w:ascii="David" w:hAnsi="David"/>
          <w:u w:val="single"/>
          <w:rtl/>
        </w:rPr>
        <w:t xml:space="preserve">מה רמת נטל השכנוע שתידרש </w:t>
      </w:r>
      <w:r w:rsidR="000F5BF7">
        <w:rPr>
          <w:rFonts w:ascii="David" w:hAnsi="David"/>
          <w:u w:val="single"/>
          <w:rtl/>
        </w:rPr>
        <w:t>ו'</w:t>
      </w:r>
      <w:r>
        <w:rPr>
          <w:rFonts w:ascii="David" w:hAnsi="David"/>
          <w:rtl/>
        </w:rPr>
        <w:t>?</w:t>
      </w:r>
    </w:p>
    <w:p w:rsidR="00457B60" w:rsidRDefault="00457B60" w:rsidP="00457B60">
      <w:pPr>
        <w:spacing w:after="120" w:line="360" w:lineRule="auto"/>
        <w:jc w:val="both"/>
        <w:rPr>
          <w:rFonts w:ascii="David" w:hAnsi="David"/>
          <w:rtl/>
        </w:rPr>
      </w:pPr>
      <w:r>
        <w:rPr>
          <w:rFonts w:ascii="David" w:hAnsi="David"/>
          <w:rtl/>
        </w:rPr>
        <w:tab/>
      </w:r>
      <w:r>
        <w:rPr>
          <w:rFonts w:ascii="David" w:hAnsi="David"/>
          <w:rtl/>
        </w:rPr>
        <w:tab/>
      </w:r>
      <w:r>
        <w:rPr>
          <w:rFonts w:ascii="David" w:hAnsi="David"/>
          <w:u w:val="single"/>
          <w:rtl/>
        </w:rPr>
        <w:t>סעיף 25(א) לחוק הירושה קובע כדלקמן</w:t>
      </w:r>
      <w:r>
        <w:rPr>
          <w:rFonts w:ascii="David" w:hAnsi="David"/>
          <w:rtl/>
        </w:rPr>
        <w:t>:</w:t>
      </w:r>
    </w:p>
    <w:p w:rsidR="00457B60" w:rsidRDefault="00457B60" w:rsidP="00457B60">
      <w:pPr>
        <w:spacing w:after="120" w:line="360" w:lineRule="auto"/>
        <w:ind w:left="2160" w:right="567"/>
        <w:jc w:val="both"/>
        <w:rPr>
          <w:rFonts w:ascii="David" w:hAnsi="David"/>
          <w:rtl/>
        </w:rPr>
      </w:pPr>
      <w:r>
        <w:rPr>
          <w:rFonts w:ascii="David" w:hAnsi="David"/>
          <w:b/>
          <w:bCs/>
          <w:rtl/>
        </w:rPr>
        <w:t>"התקיימו מרכיבי היסוד בצוואה, ולא היה לרשם לענייני ירושה או לבית המשפט, לפי העניין, ספק כי היא משקפת את רצונו החופשי והאמיתי של המצווה, רשאי הוא, בהחלטה מנומקת, לקיימה אם אף נפל פגם בפרט מן הפרטים או בהליך מן ההליכים המפורטים בסעיפים 19, 20, 22 או 23 או בכשרות העדים, או בהעדר פרט מן הפרטים או הליך מן ההליכים כאמור"</w:t>
      </w:r>
      <w:r>
        <w:rPr>
          <w:rFonts w:ascii="David" w:hAnsi="David"/>
          <w:rtl/>
        </w:rPr>
        <w:t>.</w:t>
      </w:r>
    </w:p>
    <w:p w:rsidR="00457B60" w:rsidRDefault="00457B60" w:rsidP="00457B60">
      <w:pPr>
        <w:spacing w:after="120" w:line="360" w:lineRule="auto"/>
        <w:ind w:left="1440"/>
        <w:jc w:val="both"/>
        <w:rPr>
          <w:rFonts w:ascii="David" w:hAnsi="David"/>
          <w:rtl/>
        </w:rPr>
      </w:pPr>
      <w:r>
        <w:rPr>
          <w:rFonts w:ascii="David" w:hAnsi="David"/>
          <w:rtl/>
        </w:rPr>
        <w:t xml:space="preserve">נטל השכנוע שיועבר לכתפיו של </w:t>
      </w:r>
      <w:r w:rsidR="000F5BF7">
        <w:rPr>
          <w:rFonts w:ascii="David" w:hAnsi="David"/>
          <w:rtl/>
        </w:rPr>
        <w:t>ו'</w:t>
      </w:r>
      <w:r>
        <w:rPr>
          <w:rFonts w:ascii="David" w:hAnsi="David"/>
          <w:rtl/>
        </w:rPr>
        <w:t xml:space="preserve">, כעולה מסעיף 25(א) לחוק הירושה, הוא נטל כבד (העדר ספק). היינו </w:t>
      </w:r>
      <w:r w:rsidR="000F5BF7">
        <w:rPr>
          <w:rFonts w:ascii="David" w:hAnsi="David"/>
          <w:rtl/>
        </w:rPr>
        <w:t>ו'</w:t>
      </w:r>
      <w:r>
        <w:rPr>
          <w:rFonts w:ascii="David" w:hAnsi="David"/>
          <w:rtl/>
        </w:rPr>
        <w:t xml:space="preserve"> יצטרך לשכנע את בית המשפט כי אין כל ספק בדבר אמיתות הצוואה. קרי אין ספק בצלילות דעתו של המצווה, את היעדרה של השפעה בלתי הוגנת ואת היעדרם של יתר הפגמים הנזכרים בסעיף 30 לחוק הירושה (אונס, איום, תחבולה או תרמית).</w:t>
      </w:r>
    </w:p>
    <w:p w:rsidR="00457B60" w:rsidRDefault="00457B60" w:rsidP="00457B60">
      <w:pPr>
        <w:spacing w:after="120" w:line="360" w:lineRule="auto"/>
        <w:ind w:left="1440"/>
        <w:jc w:val="both"/>
        <w:rPr>
          <w:rFonts w:ascii="David" w:hAnsi="David"/>
          <w:rtl/>
        </w:rPr>
      </w:pPr>
      <w:r>
        <w:rPr>
          <w:rFonts w:ascii="David" w:hAnsi="David"/>
          <w:u w:val="single"/>
          <w:rtl/>
        </w:rPr>
        <w:t>ראו לענין זה</w:t>
      </w:r>
      <w:r>
        <w:rPr>
          <w:rFonts w:ascii="David" w:hAnsi="David"/>
          <w:rtl/>
        </w:rPr>
        <w:t>:</w:t>
      </w:r>
    </w:p>
    <w:p w:rsidR="00457B60" w:rsidRDefault="00457B60" w:rsidP="00457B60">
      <w:pPr>
        <w:spacing w:after="120" w:line="360" w:lineRule="auto"/>
        <w:ind w:left="1440"/>
        <w:jc w:val="both"/>
        <w:rPr>
          <w:rFonts w:ascii="David" w:hAnsi="David"/>
          <w:rtl/>
        </w:rPr>
      </w:pPr>
      <w:r>
        <w:rPr>
          <w:rFonts w:ascii="David" w:hAnsi="David"/>
          <w:rtl/>
        </w:rPr>
        <w:t xml:space="preserve">ע"א 2098/97 </w:t>
      </w:r>
      <w:r>
        <w:rPr>
          <w:rFonts w:ascii="David" w:hAnsi="David"/>
          <w:b/>
          <w:bCs/>
          <w:rtl/>
        </w:rPr>
        <w:t xml:space="preserve">בוסקילה נ' בוסקילה </w:t>
      </w:r>
      <w:r>
        <w:rPr>
          <w:rFonts w:ascii="David" w:hAnsi="David"/>
          <w:rtl/>
        </w:rPr>
        <w:t>פד"י נה (3) 837;</w:t>
      </w:r>
    </w:p>
    <w:p w:rsidR="00457B60" w:rsidRDefault="00457B60" w:rsidP="00457B60">
      <w:pPr>
        <w:spacing w:after="120" w:line="360" w:lineRule="auto"/>
        <w:ind w:left="1440"/>
        <w:jc w:val="both"/>
        <w:rPr>
          <w:rFonts w:ascii="David" w:hAnsi="David"/>
          <w:rtl/>
        </w:rPr>
      </w:pPr>
      <w:r>
        <w:rPr>
          <w:rFonts w:ascii="David" w:hAnsi="David"/>
          <w:b/>
          <w:bCs/>
          <w:rtl/>
        </w:rPr>
        <w:t>עניין ע.ע</w:t>
      </w:r>
      <w:r>
        <w:rPr>
          <w:rFonts w:ascii="David" w:hAnsi="David"/>
          <w:rtl/>
        </w:rPr>
        <w:t>;</w:t>
      </w:r>
    </w:p>
    <w:p w:rsidR="00457B60" w:rsidRDefault="00457B60" w:rsidP="00457B60">
      <w:pPr>
        <w:spacing w:after="120" w:line="360" w:lineRule="auto"/>
        <w:ind w:left="1440"/>
        <w:jc w:val="both"/>
        <w:rPr>
          <w:rFonts w:ascii="David" w:hAnsi="David"/>
          <w:rtl/>
        </w:rPr>
      </w:pPr>
      <w:r>
        <w:rPr>
          <w:rFonts w:ascii="David" w:hAnsi="David"/>
          <w:b/>
          <w:bCs/>
          <w:rtl/>
        </w:rPr>
        <w:lastRenderedPageBreak/>
        <w:t>שוחט</w:t>
      </w:r>
      <w:r>
        <w:rPr>
          <w:rFonts w:ascii="David" w:hAnsi="David"/>
          <w:rtl/>
        </w:rPr>
        <w:t xml:space="preserve">, עמ' 69-70. </w:t>
      </w:r>
    </w:p>
    <w:p w:rsidR="00457B60" w:rsidRDefault="00457B60" w:rsidP="00457B60">
      <w:pPr>
        <w:spacing w:after="120" w:line="360" w:lineRule="auto"/>
        <w:jc w:val="both"/>
        <w:rPr>
          <w:rFonts w:ascii="David" w:hAnsi="David"/>
          <w:rtl/>
        </w:rPr>
      </w:pPr>
      <w:r>
        <w:rPr>
          <w:rFonts w:ascii="David" w:hAnsi="David"/>
          <w:rtl/>
        </w:rPr>
        <w:t>61.</w:t>
      </w:r>
      <w:r>
        <w:rPr>
          <w:rFonts w:ascii="David" w:hAnsi="David"/>
          <w:rtl/>
        </w:rPr>
        <w:tab/>
      </w:r>
      <w:r>
        <w:rPr>
          <w:rFonts w:ascii="David" w:hAnsi="David"/>
          <w:b/>
          <w:bCs/>
          <w:u w:val="single"/>
          <w:rtl/>
        </w:rPr>
        <w:t xml:space="preserve">אי מעורבותו של </w:t>
      </w:r>
      <w:r w:rsidR="000F5BF7">
        <w:rPr>
          <w:rFonts w:ascii="David" w:hAnsi="David"/>
          <w:b/>
          <w:bCs/>
          <w:u w:val="single"/>
          <w:rtl/>
        </w:rPr>
        <w:t>ו'</w:t>
      </w:r>
      <w:r>
        <w:rPr>
          <w:rFonts w:ascii="David" w:hAnsi="David"/>
          <w:b/>
          <w:bCs/>
          <w:u w:val="single"/>
          <w:rtl/>
        </w:rPr>
        <w:t xml:space="preserve"> בעריכת הצוואה</w:t>
      </w:r>
    </w:p>
    <w:p w:rsidR="00457B60" w:rsidRDefault="00457B60" w:rsidP="00457B60">
      <w:pPr>
        <w:spacing w:after="120" w:line="360" w:lineRule="auto"/>
        <w:jc w:val="both"/>
        <w:rPr>
          <w:rFonts w:ascii="David" w:hAnsi="David"/>
          <w:rtl/>
        </w:rPr>
      </w:pPr>
      <w:r>
        <w:rPr>
          <w:rFonts w:ascii="David" w:hAnsi="David"/>
          <w:rtl/>
        </w:rPr>
        <w:tab/>
        <w:t>א.</w:t>
      </w:r>
      <w:r>
        <w:rPr>
          <w:rFonts w:ascii="David" w:hAnsi="David"/>
          <w:rtl/>
        </w:rPr>
        <w:tab/>
      </w:r>
      <w:r>
        <w:rPr>
          <w:rFonts w:ascii="David" w:hAnsi="David"/>
          <w:u w:val="single"/>
          <w:rtl/>
        </w:rPr>
        <w:t>סעיף 35 לחוק הירושה קובע כדלקמן</w:t>
      </w:r>
      <w:r>
        <w:rPr>
          <w:rFonts w:ascii="David" w:hAnsi="David"/>
          <w:rtl/>
        </w:rPr>
        <w:t>:</w:t>
      </w:r>
    </w:p>
    <w:p w:rsidR="00457B60" w:rsidRDefault="00457B60" w:rsidP="00457B60">
      <w:pPr>
        <w:spacing w:after="120" w:line="360" w:lineRule="auto"/>
        <w:ind w:left="2160" w:right="567"/>
        <w:jc w:val="both"/>
        <w:rPr>
          <w:rFonts w:ascii="David" w:hAnsi="David"/>
          <w:rtl/>
        </w:rPr>
      </w:pPr>
      <w:r>
        <w:rPr>
          <w:rFonts w:ascii="David" w:hAnsi="David"/>
          <w:b/>
          <w:bCs/>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t>ב.</w:t>
      </w:r>
      <w:r>
        <w:rPr>
          <w:rFonts w:ascii="David" w:hAnsi="David"/>
          <w:rtl/>
        </w:rPr>
        <w:tab/>
        <w:t xml:space="preserve">השופטת קמא דחתה את הטענה בדבר נטילת </w:t>
      </w:r>
      <w:r w:rsidR="000F5BF7">
        <w:rPr>
          <w:rFonts w:ascii="David" w:hAnsi="David"/>
          <w:rtl/>
        </w:rPr>
        <w:t>ו'</w:t>
      </w:r>
      <w:r>
        <w:rPr>
          <w:rFonts w:ascii="David" w:hAnsi="David"/>
          <w:rtl/>
        </w:rPr>
        <w:t xml:space="preserve"> בעריכת הצוואה שבמחלוקת, בהסתמך בעיקר על עדותו של </w:t>
      </w:r>
      <w:r w:rsidR="000F5BF7">
        <w:rPr>
          <w:rFonts w:ascii="David" w:hAnsi="David"/>
          <w:rtl/>
        </w:rPr>
        <w:t>ר'</w:t>
      </w:r>
      <w:r>
        <w:rPr>
          <w:rFonts w:ascii="David" w:hAnsi="David"/>
          <w:rtl/>
        </w:rPr>
        <w:t xml:space="preserve"> (ראו סעיף 19 לעיל). </w:t>
      </w:r>
    </w:p>
    <w:p w:rsidR="00457B60" w:rsidRDefault="00457B60" w:rsidP="00457B60">
      <w:pPr>
        <w:spacing w:after="120" w:line="360" w:lineRule="auto"/>
        <w:ind w:left="1440" w:hanging="720"/>
        <w:jc w:val="both"/>
        <w:rPr>
          <w:rFonts w:ascii="David" w:hAnsi="David"/>
          <w:rtl/>
        </w:rPr>
      </w:pPr>
      <w:r>
        <w:rPr>
          <w:rFonts w:ascii="David" w:hAnsi="David"/>
          <w:rtl/>
        </w:rPr>
        <w:tab/>
        <w:t xml:space="preserve">על כך התרעם </w:t>
      </w:r>
      <w:r w:rsidR="000F5BF7">
        <w:rPr>
          <w:rFonts w:ascii="David" w:hAnsi="David"/>
          <w:rtl/>
        </w:rPr>
        <w:t>מ'</w:t>
      </w:r>
      <w:r>
        <w:rPr>
          <w:rFonts w:ascii="David" w:hAnsi="David"/>
          <w:rtl/>
        </w:rPr>
        <w:t xml:space="preserve"> (ראו סעיף 29 לעיל), תרעומת שגברה עם גילוי העובדה (שבאה לידי ביטוי בבקשה להבאת ראיות חדשות בערעור) ש</w:t>
      </w:r>
      <w:r w:rsidR="000F5BF7">
        <w:rPr>
          <w:rFonts w:ascii="David" w:hAnsi="David"/>
          <w:rtl/>
        </w:rPr>
        <w:t>ר'</w:t>
      </w:r>
      <w:r>
        <w:rPr>
          <w:rFonts w:ascii="David" w:hAnsi="David"/>
          <w:rtl/>
        </w:rPr>
        <w:t xml:space="preserve"> לכאורה אינו עד ניטרלי, שכן ייצג בעבר את </w:t>
      </w:r>
      <w:r w:rsidR="000F5BF7">
        <w:rPr>
          <w:rFonts w:ascii="David" w:hAnsi="David"/>
          <w:rtl/>
        </w:rPr>
        <w:t>ו'</w:t>
      </w:r>
      <w:r>
        <w:rPr>
          <w:rFonts w:ascii="David" w:hAnsi="David"/>
          <w:rtl/>
        </w:rPr>
        <w:t xml:space="preserve"> בסכסוך האחים על אודות עזבון אביהם.</w:t>
      </w:r>
    </w:p>
    <w:p w:rsidR="00457B60" w:rsidRDefault="00457B60" w:rsidP="00457B60">
      <w:pPr>
        <w:spacing w:after="120" w:line="360" w:lineRule="auto"/>
        <w:ind w:left="1440" w:hanging="720"/>
        <w:jc w:val="both"/>
        <w:rPr>
          <w:rFonts w:ascii="David" w:hAnsi="David"/>
          <w:rtl/>
        </w:rPr>
      </w:pPr>
      <w:r>
        <w:rPr>
          <w:rFonts w:ascii="David" w:hAnsi="David"/>
          <w:rtl/>
        </w:rPr>
        <w:tab/>
        <w:t xml:space="preserve">כאמור לעיל המלצתי לחבריי לקבל את הבקשה לראיות נוספות, וכתוצאה מכך להחזיר מטעם זה ההליך לבית משפט קמא לבחינת הראיות הנוספות, תוך שקילת העדתו של </w:t>
      </w:r>
      <w:r w:rsidR="000F5BF7">
        <w:rPr>
          <w:rFonts w:ascii="David" w:hAnsi="David"/>
          <w:rtl/>
        </w:rPr>
        <w:t>ר'</w:t>
      </w:r>
      <w:r>
        <w:rPr>
          <w:rFonts w:ascii="David" w:hAnsi="David"/>
          <w:rtl/>
        </w:rPr>
        <w:t xml:space="preserve"> שנית (לאחר קבלת עמדות הצדדים) והערכת מהימנותו מחדש בשאלות שיעמדו על הפרק לבחינה מחדש, בהתאם לפסק דין זה.  </w:t>
      </w:r>
    </w:p>
    <w:p w:rsidR="00457B60" w:rsidRDefault="00457B60" w:rsidP="00457B60">
      <w:pPr>
        <w:spacing w:after="120" w:line="360" w:lineRule="auto"/>
        <w:ind w:left="1440" w:hanging="720"/>
        <w:jc w:val="both"/>
        <w:rPr>
          <w:rFonts w:ascii="David" w:hAnsi="David"/>
          <w:rtl/>
        </w:rPr>
      </w:pPr>
      <w:r>
        <w:rPr>
          <w:rFonts w:ascii="David" w:hAnsi="David"/>
          <w:rtl/>
        </w:rPr>
        <w:t>ג.</w:t>
      </w:r>
      <w:r>
        <w:rPr>
          <w:rFonts w:ascii="David" w:hAnsi="David"/>
          <w:rtl/>
        </w:rPr>
        <w:tab/>
        <w:t xml:space="preserve">בכל מקרה, גם בחינת נסיבות המקרה דנן, על מורכבותן, מחייבות היו, כך לטעמי, העברת נטל השכנוע לכתפיו של </w:t>
      </w:r>
      <w:r w:rsidR="000F5BF7">
        <w:rPr>
          <w:rFonts w:ascii="David" w:hAnsi="David"/>
          <w:rtl/>
        </w:rPr>
        <w:t>ו'</w:t>
      </w:r>
      <w:r>
        <w:rPr>
          <w:rFonts w:ascii="David" w:hAnsi="David"/>
          <w:rtl/>
        </w:rPr>
        <w:t xml:space="preserve"> לשלילת מעורבותו על פי האפשרות השלישית שבסעיף 35 לחוק הירושה, שהינה – "</w:t>
      </w:r>
      <w:r>
        <w:rPr>
          <w:rFonts w:ascii="David" w:hAnsi="David"/>
          <w:b/>
          <w:bCs/>
          <w:rtl/>
        </w:rPr>
        <w:t>לקח באופן אחר חלק בעריכתה</w:t>
      </w:r>
      <w:r>
        <w:rPr>
          <w:rFonts w:ascii="David" w:hAnsi="David"/>
          <w:rtl/>
        </w:rPr>
        <w:t xml:space="preserve">".  </w:t>
      </w:r>
    </w:p>
    <w:p w:rsidR="00457B60" w:rsidRDefault="00457B60" w:rsidP="00457B60">
      <w:pPr>
        <w:spacing w:after="120" w:line="360" w:lineRule="auto"/>
        <w:ind w:left="1440" w:hanging="720"/>
        <w:jc w:val="both"/>
        <w:rPr>
          <w:rFonts w:ascii="David" w:hAnsi="David"/>
          <w:rtl/>
        </w:rPr>
      </w:pPr>
      <w:r>
        <w:rPr>
          <w:rFonts w:ascii="David" w:hAnsi="David"/>
          <w:rtl/>
        </w:rPr>
        <w:tab/>
      </w:r>
      <w:r>
        <w:rPr>
          <w:rFonts w:ascii="David" w:hAnsi="David"/>
          <w:u w:val="single"/>
          <w:rtl/>
        </w:rPr>
        <w:t>על אפשרות שלישית זאת, ציין שוחט בספרו כדלקמן</w:t>
      </w:r>
      <w:r>
        <w:rPr>
          <w:rFonts w:ascii="David" w:hAnsi="David"/>
          <w:rtl/>
        </w:rPr>
        <w:t xml:space="preserve">: </w:t>
      </w:r>
    </w:p>
    <w:p w:rsidR="00457B60" w:rsidRDefault="00457B60" w:rsidP="00457B60">
      <w:pPr>
        <w:spacing w:after="120" w:line="360" w:lineRule="auto"/>
        <w:ind w:left="2160" w:right="567"/>
        <w:jc w:val="both"/>
        <w:rPr>
          <w:rFonts w:ascii="David" w:hAnsi="David"/>
          <w:b/>
          <w:bCs/>
          <w:rtl/>
        </w:rPr>
      </w:pPr>
      <w:r>
        <w:rPr>
          <w:rFonts w:ascii="David" w:hAnsi="David"/>
          <w:b/>
          <w:bCs/>
          <w:rtl/>
        </w:rPr>
        <w:t>"בשונה משתי עילות הבטלות הקודמות – 'מי שערך אותה' ומי ש'היה עד לעשייתה', הנחשבים כמי שנטלו חלק בעריכתה של צוואה – נפסק כי הביטוי 'לקח באופן אחר חלק בעריכתה' של צוואה הוא ביטוי גמיש אשר מתמלא תוכן על פי נסיבותיו של כל מקרה ומקרה, ויישומו נעשה על פי ההיגיון ומבחן השכל הישר.</w:t>
      </w:r>
    </w:p>
    <w:p w:rsidR="00457B60" w:rsidRDefault="00457B60" w:rsidP="00457B60">
      <w:pPr>
        <w:spacing w:after="120" w:line="360" w:lineRule="auto"/>
        <w:ind w:left="2160" w:right="567"/>
        <w:jc w:val="both"/>
        <w:rPr>
          <w:rFonts w:ascii="David" w:hAnsi="David"/>
          <w:b/>
          <w:bCs/>
          <w:rtl/>
        </w:rPr>
      </w:pPr>
      <w:r>
        <w:rPr>
          <w:rFonts w:ascii="David" w:hAnsi="David"/>
          <w:b/>
          <w:bCs/>
          <w:rtl/>
        </w:rPr>
        <w:t>... לשון העילה השלישית הנה גמישה. היא אינה מגדירה בצורה חד משמעית את הפעולות הפוסלות צוואה... על פי תכליתה של הוראה זו תיפסל צוואה בנסיבות שבהן השתתפותו של נהנה מעלה את החשש להשפעה לא הוגנת בעריכת הצוואה... עילה זו נבחנת איפוא לפי הנסיבות הכוללות של עריכת הצוואה – ובפרט טיב המעורבות ועוצמתה – והמחוקק מעניק לבית המשפט מרחב פרשנות רחב בהקשר זה...</w:t>
      </w:r>
    </w:p>
    <w:p w:rsidR="00457B60" w:rsidRDefault="00457B60" w:rsidP="00457B60">
      <w:pPr>
        <w:spacing w:after="120" w:line="360" w:lineRule="auto"/>
        <w:ind w:left="2160" w:right="567"/>
        <w:jc w:val="both"/>
        <w:rPr>
          <w:rFonts w:ascii="David" w:hAnsi="David"/>
          <w:b/>
          <w:bCs/>
          <w:rtl/>
        </w:rPr>
      </w:pPr>
      <w:r>
        <w:rPr>
          <w:rFonts w:ascii="David" w:hAnsi="David"/>
          <w:b/>
          <w:bCs/>
          <w:rtl/>
        </w:rPr>
        <w:lastRenderedPageBreak/>
        <w:t xml:space="preserve">פעולה מצומצמת כלשהי של הנהנה כשלעצמה אינה הופכת אות7ו בהכרח למי שלקח באופן אחר חלק בעריכתה של הצוואה... אך יש שדווקא הצטברותן של מספר פעולות שונות שעשה הנהנה (גם אם כל אחת מהן בנפרד לא תביא לפסילת זכייתו) היא שתבסס את המסקנה כי הנהנה לקח חלק בעריכת הצוואה. לפיכך, יש לבחון במבט רחב את מכלול האירועים והזיקות בהיקבצם יחד שמא יש בהם כדי ליצור את אותה השתתפות בעריכתה של הצוואה הבאה בגדרו של סעיף 35 לחוק. </w:t>
      </w:r>
    </w:p>
    <w:p w:rsidR="00457B60" w:rsidRDefault="00457B60" w:rsidP="00457B60">
      <w:pPr>
        <w:spacing w:after="120" w:line="360" w:lineRule="auto"/>
        <w:ind w:left="2160" w:right="567"/>
        <w:jc w:val="both"/>
        <w:rPr>
          <w:rFonts w:ascii="David" w:hAnsi="David"/>
          <w:rtl/>
        </w:rPr>
      </w:pPr>
      <w:r>
        <w:rPr>
          <w:rFonts w:ascii="David" w:hAnsi="David"/>
          <w:b/>
          <w:bCs/>
          <w:rtl/>
        </w:rPr>
        <w:t xml:space="preserve">בדיקה עצמאית זו תיעשה בזהירות, כדי שלא להביא לבטלות הצוואה ולסיכול רצונו של המצווה עקב פעולות של הנהנה שאינן חורגות מפעילות 'טכנית' או מקיום ניטרלי של משימות שהטיל עליו המצווה או ממילוי שליחות שאין בה מעורבות יתר. אולם כשם שאין להרחיב את תכולתו של סעיף 35 לחוק ולהכילו על אנשים שהחוק אינו דן בהם במישרין, כך אין לצמצם את תחולתו של הסעיף ולהוציא מגדרה מצבים שהחוק דן בהם, שכן מגמת פניו של המחוקק היא למנוע את היווצרותם" </w:t>
      </w:r>
      <w:r>
        <w:rPr>
          <w:rFonts w:ascii="David" w:hAnsi="David"/>
          <w:rtl/>
        </w:rPr>
        <w:t xml:space="preserve">(ציטוטים מעמ' 311-318). </w:t>
      </w:r>
    </w:p>
    <w:p w:rsidR="00457B60" w:rsidRDefault="00457B60" w:rsidP="00457B60">
      <w:pPr>
        <w:spacing w:after="120" w:line="360" w:lineRule="auto"/>
        <w:ind w:left="1440" w:hanging="720"/>
        <w:jc w:val="both"/>
        <w:rPr>
          <w:rFonts w:ascii="David" w:hAnsi="David"/>
          <w:rtl/>
        </w:rPr>
      </w:pPr>
      <w:r>
        <w:rPr>
          <w:rFonts w:ascii="David" w:hAnsi="David"/>
          <w:rtl/>
        </w:rPr>
        <w:t>ד.</w:t>
      </w:r>
      <w:r>
        <w:rPr>
          <w:rFonts w:ascii="David" w:hAnsi="David"/>
          <w:rtl/>
        </w:rPr>
        <w:tab/>
        <w:t>במקרה דנן יש הצטברות של נסיבות, שפורטו בסעיף 29 לעיל, המקימות חשש לקיומה של האפשרות השלישית שבסעיף 35 (</w:t>
      </w:r>
      <w:r>
        <w:rPr>
          <w:rFonts w:ascii="David" w:hAnsi="David"/>
          <w:b/>
          <w:bCs/>
          <w:rtl/>
        </w:rPr>
        <w:t>"לקח באופן אחר חלק בעריכתה"</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tab/>
        <w:t xml:space="preserve">חשש זה מתגבר לאור העובדה, כי בנדון שלל בית משפט קמא כל מעורבות של </w:t>
      </w:r>
      <w:r w:rsidR="000F5BF7">
        <w:rPr>
          <w:rFonts w:ascii="David" w:hAnsi="David"/>
          <w:rtl/>
        </w:rPr>
        <w:t>ו'</w:t>
      </w:r>
      <w:r>
        <w:rPr>
          <w:rFonts w:ascii="David" w:hAnsi="David"/>
          <w:rtl/>
        </w:rPr>
        <w:t xml:space="preserve"> בעריכת הצוואה בהסתמך על עדותו של </w:t>
      </w:r>
      <w:r w:rsidR="000F5BF7">
        <w:rPr>
          <w:rFonts w:ascii="David" w:hAnsi="David"/>
          <w:rtl/>
        </w:rPr>
        <w:t>ר'</w:t>
      </w:r>
      <w:r>
        <w:rPr>
          <w:rFonts w:ascii="David" w:hAnsi="David"/>
          <w:rtl/>
        </w:rPr>
        <w:t xml:space="preserve">, שלא גילה כי </w:t>
      </w:r>
      <w:r w:rsidR="000F5BF7">
        <w:rPr>
          <w:rFonts w:ascii="David" w:hAnsi="David"/>
          <w:rtl/>
        </w:rPr>
        <w:t>ו'</w:t>
      </w:r>
      <w:r>
        <w:rPr>
          <w:rFonts w:ascii="David" w:hAnsi="David"/>
          <w:rtl/>
        </w:rPr>
        <w:t xml:space="preserve"> היה לקוח שלו בסכסוך עם אחיו, וגם </w:t>
      </w:r>
      <w:r w:rsidR="000F5BF7">
        <w:rPr>
          <w:rFonts w:ascii="David" w:hAnsi="David"/>
          <w:rtl/>
        </w:rPr>
        <w:t>ו'</w:t>
      </w:r>
      <w:r>
        <w:rPr>
          <w:rFonts w:ascii="David" w:hAnsi="David"/>
          <w:rtl/>
        </w:rPr>
        <w:t xml:space="preserve"> לא גילה זאת.</w:t>
      </w:r>
    </w:p>
    <w:p w:rsidR="00457B60" w:rsidRDefault="00457B60" w:rsidP="00457B60">
      <w:pPr>
        <w:spacing w:after="120" w:line="360" w:lineRule="auto"/>
        <w:ind w:left="1440" w:hanging="720"/>
        <w:jc w:val="both"/>
        <w:rPr>
          <w:rFonts w:ascii="David" w:hAnsi="David"/>
          <w:rtl/>
        </w:rPr>
      </w:pPr>
      <w:r>
        <w:rPr>
          <w:rFonts w:ascii="David" w:hAnsi="David"/>
          <w:rtl/>
        </w:rPr>
        <w:tab/>
        <w:t xml:space="preserve">חשש זה גם מתגבר לנוכח העובדה, כי עסקינן בשלוש צוואות שנערכו אחת אחרי השנייה, בהפרש של כחודש-חודשיים זו מזו, כשבשתי הצוואות הראשונות, </w:t>
      </w:r>
      <w:r w:rsidR="000F5BF7">
        <w:rPr>
          <w:rFonts w:ascii="David" w:hAnsi="David"/>
          <w:rtl/>
        </w:rPr>
        <w:t>ס'</w:t>
      </w:r>
      <w:r>
        <w:rPr>
          <w:rFonts w:ascii="David" w:hAnsi="David"/>
          <w:rtl/>
        </w:rPr>
        <w:t xml:space="preserve"> ו</w:t>
      </w:r>
      <w:r w:rsidR="000F5BF7">
        <w:rPr>
          <w:rFonts w:ascii="David" w:hAnsi="David"/>
          <w:rtl/>
        </w:rPr>
        <w:t>מ'</w:t>
      </w:r>
      <w:r>
        <w:rPr>
          <w:rFonts w:ascii="David" w:hAnsi="David"/>
          <w:rtl/>
        </w:rPr>
        <w:t xml:space="preserve"> נמנו עם זוכי עזבון המנוח, ובצוואה שבמחלוקת נושלו מעזבונו של המנוח, כש</w:t>
      </w:r>
      <w:r w:rsidR="000F5BF7">
        <w:rPr>
          <w:rFonts w:ascii="David" w:hAnsi="David"/>
          <w:rtl/>
        </w:rPr>
        <w:t>ו'</w:t>
      </w:r>
      <w:r>
        <w:rPr>
          <w:rFonts w:ascii="David" w:hAnsi="David"/>
          <w:rtl/>
        </w:rPr>
        <w:t xml:space="preserve"> הינו הזוכה או הנהנה היחיד על פיה, ללא כל סיבה מוכחת או נראית לעין. </w:t>
      </w:r>
    </w:p>
    <w:p w:rsidR="00457B60" w:rsidRDefault="00457B60" w:rsidP="00457B60">
      <w:pPr>
        <w:spacing w:after="120" w:line="360" w:lineRule="auto"/>
        <w:ind w:left="1440" w:hanging="720"/>
        <w:jc w:val="both"/>
        <w:rPr>
          <w:rFonts w:ascii="David" w:hAnsi="David"/>
          <w:rtl/>
        </w:rPr>
      </w:pPr>
      <w:r>
        <w:rPr>
          <w:rFonts w:ascii="David" w:hAnsi="David"/>
          <w:rtl/>
        </w:rPr>
        <w:tab/>
        <w:t xml:space="preserve">עובדה תמוהה נוספת קיימת בגרסאות השונות, לרבות של </w:t>
      </w:r>
      <w:r w:rsidR="000F5BF7">
        <w:rPr>
          <w:rFonts w:ascii="David" w:hAnsi="David"/>
          <w:rtl/>
        </w:rPr>
        <w:t>ו'</w:t>
      </w:r>
      <w:r>
        <w:rPr>
          <w:rFonts w:ascii="David" w:hAnsi="David"/>
          <w:rtl/>
        </w:rPr>
        <w:t xml:space="preserve">, בשאלת מציאת הצוואה שבמחלוקת (בנדון נפנה לסעף 29 להודעת הערעור של </w:t>
      </w:r>
      <w:r w:rsidR="000F5BF7">
        <w:rPr>
          <w:rFonts w:ascii="David" w:hAnsi="David"/>
          <w:rtl/>
        </w:rPr>
        <w:t>מ'</w:t>
      </w:r>
      <w:r>
        <w:rPr>
          <w:rFonts w:ascii="David" w:hAnsi="David"/>
          <w:rtl/>
        </w:rPr>
        <w:t>, על האסמכתאות שבה).</w:t>
      </w:r>
    </w:p>
    <w:p w:rsidR="00457B60" w:rsidRDefault="00457B60" w:rsidP="00457B60">
      <w:pPr>
        <w:spacing w:after="120" w:line="360" w:lineRule="auto"/>
        <w:ind w:left="1440" w:hanging="720"/>
        <w:jc w:val="both"/>
        <w:rPr>
          <w:rFonts w:ascii="David" w:hAnsi="David"/>
          <w:rtl/>
        </w:rPr>
      </w:pPr>
      <w:r>
        <w:rPr>
          <w:rFonts w:ascii="David" w:hAnsi="David"/>
          <w:rtl/>
        </w:rPr>
        <w:tab/>
        <w:t xml:space="preserve">בעדותו במשטרה ובתשובותיו לשאלון שהועבר אליו </w:t>
      </w:r>
      <w:r w:rsidR="000F5BF7">
        <w:rPr>
          <w:rFonts w:ascii="David" w:hAnsi="David"/>
          <w:rtl/>
        </w:rPr>
        <w:t>ו'</w:t>
      </w:r>
      <w:r>
        <w:rPr>
          <w:rFonts w:ascii="David" w:hAnsi="David"/>
          <w:rtl/>
        </w:rPr>
        <w:t xml:space="preserve"> טען שלא ידע על הצוואה השלישית, ורק בשנת 2003 נודע לו עליה באופן מקרי והוא זה שמצאה;</w:t>
      </w:r>
    </w:p>
    <w:p w:rsidR="00457B60" w:rsidRDefault="00B409BD" w:rsidP="00B409BD">
      <w:pPr>
        <w:spacing w:after="120" w:line="360" w:lineRule="auto"/>
        <w:ind w:left="1440" w:hanging="720"/>
        <w:jc w:val="both"/>
        <w:rPr>
          <w:rFonts w:ascii="David" w:hAnsi="David"/>
          <w:rtl/>
        </w:rPr>
      </w:pPr>
      <w:r>
        <w:rPr>
          <w:rFonts w:ascii="David" w:hAnsi="David"/>
          <w:rtl/>
        </w:rPr>
        <w:tab/>
        <w:t>לעומתו, בעדותם של בנו ה</w:t>
      </w:r>
      <w:r>
        <w:rPr>
          <w:rFonts w:ascii="David" w:hAnsi="David" w:hint="cs"/>
          <w:rtl/>
        </w:rPr>
        <w:t>'</w:t>
      </w:r>
      <w:r>
        <w:rPr>
          <w:rFonts w:ascii="David" w:hAnsi="David"/>
          <w:rtl/>
        </w:rPr>
        <w:t xml:space="preserve"> וחברו </w:t>
      </w:r>
      <w:r>
        <w:rPr>
          <w:rFonts w:ascii="David" w:hAnsi="David" w:hint="cs"/>
          <w:rtl/>
        </w:rPr>
        <w:t>ע'</w:t>
      </w:r>
      <w:r w:rsidR="00457B60">
        <w:rPr>
          <w:rFonts w:ascii="David" w:hAnsi="David"/>
          <w:rtl/>
        </w:rPr>
        <w:t>, נטען כי הצוואה שבמחלוקת נמצאה על ידם בארגזים בעליית הגג.</w:t>
      </w:r>
    </w:p>
    <w:p w:rsidR="00457B60" w:rsidRDefault="00457B60" w:rsidP="00457B60">
      <w:pPr>
        <w:spacing w:after="120" w:line="360" w:lineRule="auto"/>
        <w:ind w:left="1440" w:hanging="720"/>
        <w:jc w:val="both"/>
        <w:rPr>
          <w:rFonts w:ascii="David" w:hAnsi="David"/>
          <w:rtl/>
        </w:rPr>
      </w:pPr>
      <w:r>
        <w:rPr>
          <w:rFonts w:ascii="David" w:hAnsi="David"/>
          <w:rtl/>
        </w:rPr>
        <w:tab/>
      </w:r>
      <w:r>
        <w:rPr>
          <w:rFonts w:ascii="David" w:hAnsi="David"/>
          <w:b/>
          <w:bCs/>
          <w:rtl/>
        </w:rPr>
        <w:t>עסקינן בשתי גרסאות שונות</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lastRenderedPageBreak/>
        <w:tab/>
        <w:t xml:space="preserve">בכל אופן </w:t>
      </w:r>
      <w:r w:rsidR="000F5BF7">
        <w:rPr>
          <w:rFonts w:ascii="David" w:hAnsi="David"/>
          <w:rtl/>
        </w:rPr>
        <w:t>ר'</w:t>
      </w:r>
      <w:r>
        <w:rPr>
          <w:rFonts w:ascii="David" w:hAnsi="David"/>
          <w:rtl/>
        </w:rPr>
        <w:t xml:space="preserve"> העיד כי </w:t>
      </w:r>
      <w:r w:rsidR="000F5BF7">
        <w:rPr>
          <w:rFonts w:ascii="David" w:hAnsi="David"/>
          <w:rtl/>
        </w:rPr>
        <w:t>ו'</w:t>
      </w:r>
      <w:r>
        <w:rPr>
          <w:rFonts w:ascii="David" w:hAnsi="David"/>
          <w:rtl/>
        </w:rPr>
        <w:t xml:space="preserve"> ידע על הצוואה שבמחלוקת מתחילת הדרך, שהרי מסרה לידיו לאחר שערכה (וטרם חתימת המנוח והעדים עליה). הוסיף </w:t>
      </w:r>
      <w:r w:rsidR="000F5BF7">
        <w:rPr>
          <w:rFonts w:ascii="David" w:hAnsi="David"/>
          <w:rtl/>
        </w:rPr>
        <w:t>ר'</w:t>
      </w:r>
      <w:r>
        <w:rPr>
          <w:rFonts w:ascii="David" w:hAnsi="David"/>
          <w:rtl/>
        </w:rPr>
        <w:t xml:space="preserve"> כי אם </w:t>
      </w:r>
      <w:r w:rsidR="000F5BF7">
        <w:rPr>
          <w:rFonts w:ascii="David" w:hAnsi="David"/>
          <w:rtl/>
        </w:rPr>
        <w:t>ו'</w:t>
      </w:r>
      <w:r>
        <w:rPr>
          <w:rFonts w:ascii="David" w:hAnsi="David"/>
          <w:rtl/>
        </w:rPr>
        <w:t xml:space="preserve"> אומר שמצאה רק לאחר 20 שנים, אז הוא משקר (עדותו עמ' 529 לפרו' שו' 1-4; עמ' 525 לפרו' שו' 1-3).</w:t>
      </w:r>
    </w:p>
    <w:p w:rsidR="00457B60" w:rsidRDefault="00457B60" w:rsidP="00457B60">
      <w:pPr>
        <w:spacing w:after="120" w:line="360" w:lineRule="auto"/>
        <w:ind w:left="1440" w:hanging="720"/>
        <w:jc w:val="both"/>
        <w:rPr>
          <w:rFonts w:ascii="David" w:hAnsi="David"/>
          <w:rtl/>
        </w:rPr>
      </w:pPr>
      <w:r>
        <w:rPr>
          <w:rFonts w:ascii="David" w:hAnsi="David"/>
          <w:rtl/>
        </w:rPr>
        <w:tab/>
        <w:t xml:space="preserve">כנראה לנוכח עדותו זאת של </w:t>
      </w:r>
      <w:r w:rsidR="000F5BF7">
        <w:rPr>
          <w:rFonts w:ascii="David" w:hAnsi="David"/>
          <w:rtl/>
        </w:rPr>
        <w:t>ר'</w:t>
      </w:r>
      <w:r>
        <w:rPr>
          <w:rFonts w:ascii="David" w:hAnsi="David"/>
          <w:rtl/>
        </w:rPr>
        <w:t xml:space="preserve">, בפנינו, בישיבת הערעור, כבר העלה בא כוחו של </w:t>
      </w:r>
      <w:r w:rsidR="000F5BF7">
        <w:rPr>
          <w:rFonts w:ascii="David" w:hAnsi="David"/>
          <w:rtl/>
        </w:rPr>
        <w:t>ו'</w:t>
      </w:r>
      <w:r>
        <w:rPr>
          <w:rFonts w:ascii="David" w:hAnsi="David"/>
          <w:rtl/>
        </w:rPr>
        <w:t xml:space="preserve"> גרסה חדשה, על פיה </w:t>
      </w:r>
      <w:r w:rsidR="000F5BF7">
        <w:rPr>
          <w:rFonts w:ascii="David" w:hAnsi="David"/>
          <w:rtl/>
        </w:rPr>
        <w:t>ו'</w:t>
      </w:r>
      <w:r>
        <w:rPr>
          <w:rFonts w:ascii="David" w:hAnsi="David"/>
          <w:rtl/>
        </w:rPr>
        <w:t xml:space="preserve"> ידע לכל אורך הדרך על קיומה של הצוואה השלישית שבמחלוקת, אך הוא מצאהּ רק בשנת 2003 (עמ' 5 לפרו' שו' 12-14).</w:t>
      </w:r>
    </w:p>
    <w:p w:rsidR="00457B60" w:rsidRDefault="00457B60" w:rsidP="00457B60">
      <w:pPr>
        <w:spacing w:after="120" w:line="360" w:lineRule="auto"/>
        <w:ind w:left="1440" w:hanging="720"/>
        <w:jc w:val="both"/>
        <w:rPr>
          <w:rFonts w:ascii="David" w:hAnsi="David"/>
          <w:rtl/>
        </w:rPr>
      </w:pPr>
      <w:r>
        <w:rPr>
          <w:rFonts w:ascii="David" w:hAnsi="David"/>
          <w:rtl/>
        </w:rPr>
        <w:tab/>
        <w:t xml:space="preserve">שינויי גרסה זאת מצדם של </w:t>
      </w:r>
      <w:r w:rsidR="000F5BF7">
        <w:rPr>
          <w:rFonts w:ascii="David" w:hAnsi="David"/>
          <w:rtl/>
        </w:rPr>
        <w:t>ו'</w:t>
      </w:r>
      <w:r>
        <w:rPr>
          <w:rFonts w:ascii="David" w:hAnsi="David"/>
          <w:rtl/>
        </w:rPr>
        <w:t xml:space="preserve"> ועדיו, מקימים לכאורה חשש לא קטן באמיתות הצוואה ו/או בשאלת מעורבותו של </w:t>
      </w:r>
      <w:r w:rsidR="000F5BF7">
        <w:rPr>
          <w:rFonts w:ascii="David" w:hAnsi="David"/>
          <w:rtl/>
        </w:rPr>
        <w:t>ו'</w:t>
      </w:r>
      <w:r>
        <w:rPr>
          <w:rFonts w:ascii="David" w:hAnsi="David"/>
          <w:rtl/>
        </w:rPr>
        <w:t xml:space="preserve"> בעריכתה.</w:t>
      </w:r>
      <w:r>
        <w:rPr>
          <w:rFonts w:ascii="David" w:hAnsi="David"/>
          <w:rtl/>
        </w:rPr>
        <w:tab/>
      </w:r>
    </w:p>
    <w:p w:rsidR="00457B60" w:rsidRDefault="00457B60" w:rsidP="00457B60">
      <w:pPr>
        <w:spacing w:after="120" w:line="360" w:lineRule="auto"/>
        <w:ind w:left="1440" w:hanging="720"/>
        <w:jc w:val="both"/>
        <w:rPr>
          <w:rFonts w:ascii="David" w:hAnsi="David"/>
          <w:rtl/>
        </w:rPr>
      </w:pPr>
      <w:r>
        <w:rPr>
          <w:rFonts w:ascii="David" w:hAnsi="David"/>
          <w:rtl/>
        </w:rPr>
        <w:t>ה.</w:t>
      </w:r>
      <w:r>
        <w:rPr>
          <w:rFonts w:ascii="David" w:hAnsi="David"/>
          <w:rtl/>
        </w:rPr>
        <w:tab/>
        <w:t>ב</w:t>
      </w:r>
      <w:r>
        <w:rPr>
          <w:rFonts w:ascii="David" w:hAnsi="David"/>
          <w:b/>
          <w:bCs/>
          <w:rtl/>
        </w:rPr>
        <w:t>פרשת</w:t>
      </w:r>
      <w:r>
        <w:rPr>
          <w:rFonts w:ascii="David" w:hAnsi="David"/>
          <w:rtl/>
        </w:rPr>
        <w:t xml:space="preserve"> </w:t>
      </w:r>
      <w:r>
        <w:rPr>
          <w:rFonts w:ascii="David" w:hAnsi="David"/>
          <w:b/>
          <w:bCs/>
          <w:rtl/>
        </w:rPr>
        <w:t xml:space="preserve">בוטו </w:t>
      </w:r>
      <w:r>
        <w:rPr>
          <w:rFonts w:ascii="David" w:hAnsi="David"/>
          <w:rtl/>
        </w:rPr>
        <w:t xml:space="preserve">(ע"א 6496/98 </w:t>
      </w:r>
      <w:r>
        <w:rPr>
          <w:rFonts w:ascii="David" w:hAnsi="David"/>
          <w:b/>
          <w:bCs/>
          <w:rtl/>
        </w:rPr>
        <w:t>מופק בוטו נ' סאמי בוטו</w:t>
      </w:r>
      <w:r>
        <w:rPr>
          <w:rFonts w:ascii="David" w:hAnsi="David"/>
          <w:rtl/>
        </w:rPr>
        <w:t xml:space="preserve">, פ"ד נד(1) 19), ציין בית המשפט (כב' השופטת שטרסברג-כהן), כי  יש שהנהנה פעיל במעשה מסוים אחד אשר כשלעצמו אינו הופך אותו למי שנטל חלק בעריכת הצוואה, ויש שהצטברות של כמה פעילויות שונות תוביל למסקנה כי יש בה משום נטילת חלק בעריכת הצוואה. לכן כשבוחנים את כל אותן פעולות גם יחד, יכול שיתקבל הרושם של מעורבות-יתר, שיש בה כדי להכתימו בנטילת חלק בעריכת הצוואה. </w:t>
      </w:r>
    </w:p>
    <w:p w:rsidR="00457B60" w:rsidRDefault="00457B60" w:rsidP="00457B60">
      <w:pPr>
        <w:spacing w:after="120" w:line="360" w:lineRule="auto"/>
        <w:ind w:left="1440"/>
        <w:jc w:val="both"/>
        <w:rPr>
          <w:rFonts w:ascii="David" w:hAnsi="David"/>
          <w:rtl/>
        </w:rPr>
      </w:pPr>
      <w:r>
        <w:rPr>
          <w:rFonts w:ascii="David" w:hAnsi="David"/>
          <w:rtl/>
        </w:rPr>
        <w:t>למשל ב</w:t>
      </w:r>
      <w:r>
        <w:rPr>
          <w:rFonts w:ascii="David" w:hAnsi="David"/>
          <w:b/>
          <w:bCs/>
          <w:rtl/>
        </w:rPr>
        <w:t>פרשת בוטו</w:t>
      </w:r>
      <w:r>
        <w:rPr>
          <w:rFonts w:ascii="David" w:hAnsi="David"/>
          <w:rtl/>
        </w:rPr>
        <w:t>, מעורבות הנהנה היתה, בין היתר בכך שהזמין עורך-דין לבקשת אביו (כשהשיחה בין עורך-הדין לאב נעשתה ביחידות ושלא בנוכחותו). הוא לקח את הצוואה שערך עורך-הדין והביא אותה לבית החולים שם שהה האב, לשם החתמתו עליה בפני עדים; הוא הביא עמו לבית החולים אחד משני עדים שחתמו על הצוואה; הוא נכח בחדר בעת החתימה על הצוואה על-ידי המצווה והעדים. כל אחת מפעילויות אלה, כשלעצמה, אינה הופכת אותו להיות מי שלקח חלק בעריכת הצוואה, אם כי הצטברותן מצביעה לכיוון מעורבות-יתר.</w:t>
      </w:r>
    </w:p>
    <w:p w:rsidR="00457B60" w:rsidRDefault="00457B60" w:rsidP="00457B60">
      <w:pPr>
        <w:spacing w:after="120" w:line="360" w:lineRule="auto"/>
        <w:ind w:left="1440"/>
        <w:jc w:val="both"/>
        <w:rPr>
          <w:rFonts w:ascii="David" w:hAnsi="David"/>
          <w:rtl/>
        </w:rPr>
      </w:pPr>
      <w:r>
        <w:rPr>
          <w:rFonts w:ascii="David" w:hAnsi="David"/>
          <w:b/>
          <w:bCs/>
          <w:rtl/>
        </w:rPr>
        <w:t>נסיבות פרשת בוטו מזכירות את המקרה דנן על נסיבותיו</w:t>
      </w:r>
      <w:r>
        <w:rPr>
          <w:rFonts w:ascii="David" w:hAnsi="David"/>
          <w:rtl/>
        </w:rPr>
        <w:t xml:space="preserve">. </w:t>
      </w:r>
    </w:p>
    <w:p w:rsidR="00457B60" w:rsidRDefault="00457B60" w:rsidP="00457B60">
      <w:pPr>
        <w:spacing w:after="120" w:line="360" w:lineRule="auto"/>
        <w:ind w:left="1440" w:hanging="720"/>
        <w:rPr>
          <w:rFonts w:ascii="David" w:hAnsi="David"/>
          <w:rtl/>
        </w:rPr>
      </w:pPr>
      <w:r>
        <w:rPr>
          <w:rFonts w:ascii="David" w:hAnsi="David"/>
          <w:rtl/>
        </w:rPr>
        <w:t>ו.</w:t>
      </w:r>
      <w:r>
        <w:rPr>
          <w:rFonts w:ascii="David" w:hAnsi="David"/>
          <w:rtl/>
        </w:rPr>
        <w:tab/>
      </w:r>
      <w:r>
        <w:rPr>
          <w:rFonts w:ascii="David" w:hAnsi="David"/>
          <w:u w:val="single"/>
          <w:rtl/>
        </w:rPr>
        <w:t xml:space="preserve">כך גם בע"א 5869/03‏ </w:t>
      </w:r>
      <w:r>
        <w:rPr>
          <w:rFonts w:ascii="David" w:hAnsi="David"/>
          <w:b/>
          <w:bCs/>
          <w:u w:val="single"/>
          <w:rtl/>
        </w:rPr>
        <w:t>חרמון נ' גולוב</w:t>
      </w:r>
      <w:r>
        <w:rPr>
          <w:rFonts w:ascii="David" w:hAnsi="David"/>
          <w:u w:val="single"/>
          <w:rtl/>
        </w:rPr>
        <w:t>, פ''ד נט(3) 1, ציין בית המשפט בפסקה 16, כי</w:t>
      </w:r>
      <w:r>
        <w:rPr>
          <w:rFonts w:ascii="David" w:hAnsi="David"/>
          <w:rtl/>
        </w:rPr>
        <w:t>:</w:t>
      </w:r>
    </w:p>
    <w:p w:rsidR="00457B60" w:rsidRDefault="00457B60" w:rsidP="00457B60">
      <w:pPr>
        <w:spacing w:after="120" w:line="360" w:lineRule="auto"/>
        <w:ind w:left="2160" w:right="709"/>
        <w:jc w:val="both"/>
        <w:rPr>
          <w:rFonts w:ascii="David" w:hAnsi="David"/>
          <w:rtl/>
        </w:rPr>
      </w:pPr>
      <w:r>
        <w:rPr>
          <w:rFonts w:ascii="David" w:hAnsi="David"/>
          <w:b/>
          <w:bCs/>
          <w:rtl/>
        </w:rPr>
        <w:t>"השכל הישר מורנו גם כי הצטברותם של אירועים וזיקות שאולי כל אחד מהם כשלעצמו לא היה בו כדי להציב תווית של נטילת חלק בעריכת הצוואה, בהיקבצם יחד ב'מבט-על' אל המכלול, יוצרים הם אותה השתתפות בעריכתה שיש בה כדי לפסול"</w:t>
      </w:r>
      <w:r>
        <w:rPr>
          <w:rFonts w:ascii="David" w:hAnsi="David"/>
          <w:rtl/>
        </w:rPr>
        <w:t>.</w:t>
      </w:r>
    </w:p>
    <w:p w:rsidR="00457B60" w:rsidRDefault="00457B60" w:rsidP="00457B60">
      <w:pPr>
        <w:spacing w:after="120" w:line="360" w:lineRule="auto"/>
        <w:ind w:left="1440"/>
        <w:jc w:val="both"/>
        <w:rPr>
          <w:rFonts w:ascii="David" w:hAnsi="David"/>
          <w:rtl/>
        </w:rPr>
      </w:pPr>
      <w:r>
        <w:rPr>
          <w:rFonts w:ascii="David" w:hAnsi="David"/>
          <w:rtl/>
        </w:rPr>
        <w:t>בנסיבות דנן, איני מרחיק לכת לומר כי פעולותיו של המשיב הגיעו עד כדי השתתפות בעריכת הצוואה המחייבים את פסילתה, למרות שכך טענו המערערים.</w:t>
      </w:r>
    </w:p>
    <w:p w:rsidR="00457B60" w:rsidRDefault="00457B60" w:rsidP="00457B60">
      <w:pPr>
        <w:spacing w:after="120" w:line="360" w:lineRule="auto"/>
        <w:ind w:left="1440"/>
        <w:jc w:val="both"/>
        <w:rPr>
          <w:rFonts w:ascii="David" w:hAnsi="David"/>
          <w:rtl/>
        </w:rPr>
      </w:pPr>
      <w:r>
        <w:rPr>
          <w:rFonts w:ascii="David" w:hAnsi="David"/>
          <w:rtl/>
        </w:rPr>
        <w:t xml:space="preserve">כל שקובע אנוכי, שהצטברות הנסיבות המיוחדות במקרה דנן שאוזכרו לעיל, צריכות היו להוביל את השופטת קמא לקבוע, כי נטל השכנוע לשלילת מעורבות בעריכת הצוואה, צריך היה להיות מועבר לכתפיו של </w:t>
      </w:r>
      <w:r w:rsidR="000F5BF7">
        <w:rPr>
          <w:rFonts w:ascii="David" w:hAnsi="David"/>
          <w:rtl/>
        </w:rPr>
        <w:t>ו'</w:t>
      </w:r>
      <w:r>
        <w:rPr>
          <w:rFonts w:ascii="David" w:hAnsi="David"/>
          <w:rtl/>
        </w:rPr>
        <w:t xml:space="preserve">. </w:t>
      </w:r>
    </w:p>
    <w:p w:rsidR="00457B60" w:rsidRDefault="00457B60" w:rsidP="00457B60">
      <w:pPr>
        <w:spacing w:after="120" w:line="360" w:lineRule="auto"/>
        <w:ind w:left="1440"/>
        <w:jc w:val="both"/>
        <w:rPr>
          <w:rFonts w:ascii="David" w:hAnsi="David"/>
          <w:u w:val="single"/>
          <w:rtl/>
        </w:rPr>
      </w:pPr>
      <w:r>
        <w:rPr>
          <w:rFonts w:ascii="David" w:hAnsi="David"/>
          <w:b/>
          <w:bCs/>
          <w:rtl/>
        </w:rPr>
        <w:lastRenderedPageBreak/>
        <w:t xml:space="preserve">משלא עשה כן בית משפט קמא הוא טעה, ומן הראוי לקבל את הערעור בנקודה זאת, ולהחזיר את ההליך לבית משפט קמא לבחון את הכרעתו בשנית, כשהפעם נטל השכנוע יוטל על </w:t>
      </w:r>
      <w:r w:rsidR="000F5BF7">
        <w:rPr>
          <w:rFonts w:ascii="David" w:hAnsi="David"/>
          <w:b/>
          <w:bCs/>
          <w:rtl/>
        </w:rPr>
        <w:t>ו'</w:t>
      </w:r>
      <w:r>
        <w:rPr>
          <w:rFonts w:ascii="David" w:hAnsi="David"/>
          <w:b/>
          <w:bCs/>
          <w:rtl/>
        </w:rPr>
        <w:t xml:space="preserve">.  </w:t>
      </w:r>
    </w:p>
    <w:p w:rsidR="00457B60" w:rsidRDefault="00457B60" w:rsidP="00457B60">
      <w:pPr>
        <w:spacing w:after="120" w:line="360" w:lineRule="auto"/>
        <w:jc w:val="both"/>
        <w:rPr>
          <w:rFonts w:ascii="David" w:hAnsi="David"/>
          <w:rtl/>
        </w:rPr>
      </w:pPr>
      <w:r>
        <w:rPr>
          <w:rFonts w:ascii="David" w:hAnsi="David"/>
          <w:rtl/>
        </w:rPr>
        <w:t>62.</w:t>
      </w:r>
      <w:r>
        <w:rPr>
          <w:rFonts w:ascii="David" w:hAnsi="David"/>
          <w:rtl/>
        </w:rPr>
        <w:tab/>
      </w:r>
      <w:r>
        <w:rPr>
          <w:rFonts w:ascii="David" w:hAnsi="David"/>
          <w:b/>
          <w:bCs/>
          <w:u w:val="single"/>
          <w:rtl/>
        </w:rPr>
        <w:t>השפעה בלתי הוגנת</w:t>
      </w:r>
    </w:p>
    <w:p w:rsidR="00457B60" w:rsidRDefault="00457B60" w:rsidP="00457B60">
      <w:pPr>
        <w:spacing w:after="120" w:line="360" w:lineRule="auto"/>
        <w:jc w:val="both"/>
        <w:rPr>
          <w:rFonts w:ascii="David" w:hAnsi="David"/>
          <w:rtl/>
        </w:rPr>
      </w:pPr>
      <w:r>
        <w:rPr>
          <w:rFonts w:ascii="David" w:hAnsi="David"/>
          <w:rtl/>
        </w:rPr>
        <w:tab/>
        <w:t>א.</w:t>
      </w:r>
      <w:r>
        <w:rPr>
          <w:rFonts w:ascii="David" w:hAnsi="David"/>
          <w:rtl/>
        </w:rPr>
        <w:tab/>
      </w:r>
      <w:r>
        <w:rPr>
          <w:rFonts w:ascii="David" w:hAnsi="David"/>
          <w:u w:val="single"/>
          <w:rtl/>
        </w:rPr>
        <w:t>סעיף 30(א) לחוק הירושה קובע כדלקמן</w:t>
      </w:r>
      <w:r>
        <w:rPr>
          <w:rFonts w:ascii="David" w:hAnsi="David"/>
          <w:rtl/>
        </w:rPr>
        <w:t>:</w:t>
      </w:r>
    </w:p>
    <w:p w:rsidR="00457B60" w:rsidRDefault="00457B60" w:rsidP="00457B60">
      <w:pPr>
        <w:spacing w:after="120" w:line="360" w:lineRule="auto"/>
        <w:ind w:left="2160" w:right="851"/>
        <w:jc w:val="both"/>
        <w:rPr>
          <w:rFonts w:ascii="David" w:hAnsi="David"/>
          <w:b/>
          <w:bCs/>
          <w:rtl/>
        </w:rPr>
      </w:pPr>
      <w:r>
        <w:rPr>
          <w:rFonts w:ascii="David" w:hAnsi="David"/>
          <w:b/>
          <w:bCs/>
          <w:rtl/>
        </w:rPr>
        <w:t>"הוראת צוואה שנעשתה מחמת אונס, איום, השפעה בלתי הוגנת, תחבולה או תרמית – בטלה".</w:t>
      </w:r>
    </w:p>
    <w:p w:rsidR="00457B60" w:rsidRDefault="00457B60" w:rsidP="00457B60">
      <w:pPr>
        <w:spacing w:after="120" w:line="360" w:lineRule="auto"/>
        <w:jc w:val="both"/>
        <w:rPr>
          <w:rFonts w:ascii="David" w:hAnsi="David"/>
          <w:rtl/>
        </w:rPr>
      </w:pPr>
      <w:r>
        <w:rPr>
          <w:rFonts w:ascii="David" w:hAnsi="David"/>
          <w:rtl/>
        </w:rPr>
        <w:tab/>
        <w:t>ב.</w:t>
      </w:r>
      <w:r>
        <w:rPr>
          <w:rFonts w:ascii="David" w:hAnsi="David"/>
          <w:rtl/>
        </w:rPr>
        <w:tab/>
      </w:r>
      <w:r>
        <w:rPr>
          <w:rFonts w:ascii="David" w:hAnsi="David"/>
          <w:u w:val="single"/>
          <w:rtl/>
        </w:rPr>
        <w:t>שוחט בספרו מציין לעניין נטל השכנוע בטענת השפעה בלתי הוגנת כדלקמן</w:t>
      </w:r>
      <w:r>
        <w:rPr>
          <w:rFonts w:ascii="David" w:hAnsi="David"/>
          <w:rtl/>
        </w:rPr>
        <w:t>:</w:t>
      </w:r>
    </w:p>
    <w:p w:rsidR="00457B60" w:rsidRDefault="00457B60" w:rsidP="00457B60">
      <w:pPr>
        <w:spacing w:after="120" w:line="360" w:lineRule="auto"/>
        <w:ind w:left="2160" w:right="709"/>
        <w:jc w:val="both"/>
        <w:rPr>
          <w:rFonts w:ascii="David" w:hAnsi="David"/>
          <w:b/>
          <w:bCs/>
          <w:rtl/>
        </w:rPr>
      </w:pPr>
      <w:r>
        <w:rPr>
          <w:rFonts w:ascii="David" w:hAnsi="David"/>
          <w:b/>
          <w:bCs/>
          <w:rtl/>
        </w:rPr>
        <w:t>"... בדרך כלל החובה לשכנע את בית המשפט בדבר קיומה של השפעה בלתי הוגנת מוטלת על מי שתוקף את הצוואה, אך אם לא נעשתה הצוואה בהתאם לדרישות הצורניות של סעיף 20 לחוק... אזי נטל השכנוע... שלא היתה השפעה בלתי הוגנת מוטל דווקא על מי שמבקש לקיים את הצוואה למרות הפגם הצורני שבו היא לוקה...</w:t>
      </w:r>
    </w:p>
    <w:p w:rsidR="00457B60" w:rsidRDefault="00457B60" w:rsidP="00457B60">
      <w:pPr>
        <w:spacing w:after="120" w:line="360" w:lineRule="auto"/>
        <w:ind w:left="2160" w:right="709"/>
        <w:jc w:val="both"/>
        <w:rPr>
          <w:rFonts w:ascii="David" w:hAnsi="David"/>
          <w:b/>
          <w:bCs/>
          <w:rtl/>
        </w:rPr>
      </w:pPr>
      <w:r>
        <w:rPr>
          <w:rFonts w:ascii="David" w:hAnsi="David"/>
          <w:b/>
          <w:bCs/>
          <w:rtl/>
        </w:rPr>
        <w:t>לסיכום, ההלכה שהפכה להלכה פסוקה שאין חולקים עליה היא כי כל מקום שיש פגם צורני בצוואה העומדת לדיון עובר נטל השכנוע... אל מבקש הקיום... מכוח הוראת סעיף 25 לחוק גם לעניין ספק לפי סעיף 30(א) לחוק...</w:t>
      </w:r>
    </w:p>
    <w:p w:rsidR="00457B60" w:rsidRDefault="00457B60" w:rsidP="00457B60">
      <w:pPr>
        <w:spacing w:after="120" w:line="360" w:lineRule="auto"/>
        <w:ind w:left="2160" w:right="709"/>
        <w:jc w:val="both"/>
        <w:rPr>
          <w:rFonts w:ascii="David" w:hAnsi="David"/>
          <w:rtl/>
        </w:rPr>
      </w:pPr>
      <w:r>
        <w:rPr>
          <w:rFonts w:ascii="David" w:hAnsi="David"/>
          <w:b/>
          <w:bCs/>
          <w:rtl/>
        </w:rPr>
        <w:t xml:space="preserve">נטל השכנוע... – עניינו המעשי הוא מהימנות הראיות, ובית המשפט פוסק על פיו. אם בתום גביית הראיות נותר ספק לגבי קיומה של עובדה רלוונטית מסוימת, אזי יפסיד הצד שעליו היה הנטל לשכנע את בית המשפט בדבר קיומה" </w:t>
      </w:r>
      <w:r>
        <w:rPr>
          <w:rFonts w:ascii="David" w:hAnsi="David"/>
          <w:rtl/>
        </w:rPr>
        <w:t xml:space="preserve">(ציטוטים מעמ' 182-183). </w:t>
      </w:r>
    </w:p>
    <w:p w:rsidR="00457B60" w:rsidRDefault="00457B60" w:rsidP="00457B60">
      <w:pPr>
        <w:spacing w:after="120" w:line="360" w:lineRule="auto"/>
        <w:ind w:left="1440" w:hanging="720"/>
        <w:jc w:val="both"/>
        <w:rPr>
          <w:rFonts w:ascii="David" w:hAnsi="David"/>
          <w:rtl/>
        </w:rPr>
      </w:pPr>
      <w:r>
        <w:rPr>
          <w:rFonts w:ascii="David" w:hAnsi="David"/>
          <w:rtl/>
        </w:rPr>
        <w:t>ג.</w:t>
      </w:r>
      <w:r>
        <w:rPr>
          <w:rFonts w:ascii="David" w:hAnsi="David"/>
          <w:rtl/>
        </w:rPr>
        <w:tab/>
        <w:t xml:space="preserve">יישום ההלכה דלעיל יוביל לקביעה, שהיות ובמקרה דנן עסקינן בצוואה עם חשש משמעותי לפגמים צורניים (וכבר עמדנו על כך לעיל),  מן הראוי היה שמטעם זה, גם בשאלת ההשפעה הבלתי הוגנת, נטל השכנוע יועבר לכתפיו של </w:t>
      </w:r>
      <w:r w:rsidR="000F5BF7">
        <w:rPr>
          <w:rFonts w:ascii="David" w:hAnsi="David"/>
          <w:rtl/>
        </w:rPr>
        <w:t>ו'</w:t>
      </w:r>
      <w:r>
        <w:rPr>
          <w:rFonts w:ascii="David" w:hAnsi="David"/>
          <w:rtl/>
        </w:rPr>
        <w:t xml:space="preserve">, להוכחת העדר השפעה בלתי הוגנת על המנוח בצוואה שבמחלוקת (ראו בנדון טענות המערערים בערעוריהם בנדון, כמפורט בסעיפים 30 ו-35 לעיל).  </w:t>
      </w:r>
    </w:p>
    <w:p w:rsidR="00457B60" w:rsidRDefault="00457B60" w:rsidP="00457B60">
      <w:pPr>
        <w:spacing w:after="120" w:line="360" w:lineRule="auto"/>
        <w:ind w:left="1440" w:hanging="720"/>
        <w:jc w:val="both"/>
        <w:rPr>
          <w:rFonts w:ascii="David" w:hAnsi="David"/>
          <w:rtl/>
        </w:rPr>
      </w:pPr>
      <w:r>
        <w:rPr>
          <w:rFonts w:ascii="David" w:hAnsi="David"/>
          <w:rtl/>
        </w:rPr>
        <w:t>ד.</w:t>
      </w:r>
      <w:r>
        <w:rPr>
          <w:rFonts w:ascii="David" w:hAnsi="David"/>
          <w:rtl/>
        </w:rPr>
        <w:tab/>
      </w:r>
      <w:r>
        <w:rPr>
          <w:rFonts w:ascii="David" w:hAnsi="David"/>
          <w:u w:val="single"/>
          <w:rtl/>
        </w:rPr>
        <w:t>מסקנה זאת מתחזקת מהצטברות נסיבות מיוחדות כדלקמן</w:t>
      </w:r>
      <w:r>
        <w:rPr>
          <w:rFonts w:ascii="David" w:hAnsi="David"/>
          <w:rtl/>
        </w:rPr>
        <w:t>:</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 xml:space="preserve">לנוכח העובדה כי עסקינן בשלוש צוואות שנערכו אחת אחרי השנייה, בהפרש של כחודש-חודשיים זו מזו, כשבשתי הצוואות הראשונות, </w:t>
      </w:r>
      <w:r w:rsidR="000F5BF7">
        <w:rPr>
          <w:rFonts w:ascii="David" w:hAnsi="David"/>
          <w:rtl/>
        </w:rPr>
        <w:t>ס'</w:t>
      </w:r>
      <w:r>
        <w:rPr>
          <w:rFonts w:ascii="David" w:hAnsi="David"/>
          <w:rtl/>
        </w:rPr>
        <w:t xml:space="preserve"> ו</w:t>
      </w:r>
      <w:r w:rsidR="000F5BF7">
        <w:rPr>
          <w:rFonts w:ascii="David" w:hAnsi="David"/>
          <w:rtl/>
        </w:rPr>
        <w:t>מ'</w:t>
      </w:r>
      <w:r>
        <w:rPr>
          <w:rFonts w:ascii="David" w:hAnsi="David"/>
          <w:rtl/>
        </w:rPr>
        <w:t xml:space="preserve"> נמנו עם זוכי עזבון המנוח, ובצוואה שבמחלוקת נושלו מעזבונו של המנוח, שהינו הזוכה או הנהנה היחיד על פיה, ללא כל סיבה מוכחת או נראית לעין.</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 xml:space="preserve">"מציאת" הצוואה שבמחלוקת על ידי </w:t>
      </w:r>
      <w:r w:rsidR="000F5BF7">
        <w:rPr>
          <w:rFonts w:ascii="David" w:hAnsi="David"/>
          <w:rtl/>
        </w:rPr>
        <w:t>ו'</w:t>
      </w:r>
      <w:r>
        <w:rPr>
          <w:rFonts w:ascii="David" w:hAnsi="David"/>
          <w:rtl/>
        </w:rPr>
        <w:t xml:space="preserve"> בשלב כה מאוחר, בשנת 2003 רק לאחר הגשת תביעה לאכיפת הסכם החלוקה על ידי </w:t>
      </w:r>
      <w:r w:rsidR="000F5BF7">
        <w:rPr>
          <w:rFonts w:ascii="David" w:hAnsi="David"/>
          <w:rtl/>
        </w:rPr>
        <w:t>ס'</w:t>
      </w:r>
      <w:r>
        <w:rPr>
          <w:rFonts w:ascii="David" w:hAnsi="David"/>
          <w:rtl/>
        </w:rPr>
        <w:t xml:space="preserve"> (ראו סעיף 7 לעיל); וגם אז גרסתו של </w:t>
      </w:r>
      <w:r w:rsidR="000F5BF7">
        <w:rPr>
          <w:rFonts w:ascii="David" w:hAnsi="David"/>
          <w:rtl/>
        </w:rPr>
        <w:t>ו'</w:t>
      </w:r>
      <w:r>
        <w:rPr>
          <w:rFonts w:ascii="David" w:hAnsi="David"/>
          <w:rtl/>
        </w:rPr>
        <w:t xml:space="preserve"> ועדיו </w:t>
      </w:r>
      <w:r>
        <w:rPr>
          <w:rFonts w:ascii="David" w:hAnsi="David"/>
          <w:rtl/>
        </w:rPr>
        <w:lastRenderedPageBreak/>
        <w:t xml:space="preserve">בדבר נסיבות מציאת הצוואה ו/או ידיעתו של </w:t>
      </w:r>
      <w:r w:rsidR="000F5BF7">
        <w:rPr>
          <w:rFonts w:ascii="David" w:hAnsi="David"/>
          <w:rtl/>
        </w:rPr>
        <w:t>ו'</w:t>
      </w:r>
      <w:r>
        <w:rPr>
          <w:rFonts w:ascii="David" w:hAnsi="David"/>
          <w:rtl/>
        </w:rPr>
        <w:t xml:space="preserve"> עליה, אינן אחידות (ראו דבריי בסעיף 61(ד) לעיל);</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 xml:space="preserve">ידיעתו הלכאורית של </w:t>
      </w:r>
      <w:r w:rsidR="000F5BF7">
        <w:rPr>
          <w:rFonts w:ascii="David" w:hAnsi="David"/>
          <w:rtl/>
        </w:rPr>
        <w:t>ו'</w:t>
      </w:r>
      <w:r>
        <w:rPr>
          <w:rFonts w:ascii="David" w:hAnsi="David"/>
          <w:rtl/>
        </w:rPr>
        <w:t xml:space="preserve"> על הצוואה שבמחלוקת (בהסתמך על עדותו של </w:t>
      </w:r>
      <w:r w:rsidR="000F5BF7">
        <w:rPr>
          <w:rFonts w:ascii="David" w:hAnsi="David"/>
          <w:rtl/>
        </w:rPr>
        <w:t>ר'</w:t>
      </w:r>
      <w:r>
        <w:rPr>
          <w:rFonts w:ascii="David" w:hAnsi="David"/>
          <w:rtl/>
        </w:rPr>
        <w:t xml:space="preserve">, ואף לאור הצהרת בא כוחו בפנינו, בישיבת הערעור, כמוזכר לעיל), ולמרות זאת בחר לחתום על הסכם החלוקה, בו (בניגוד לצוואה שבמחלוקת, במסגרת הוא הנהנה היחיד) עזבונו של המנוח חולק בין האחים בחלקים שווים. </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r>
      <w:r>
        <w:rPr>
          <w:rFonts w:ascii="David" w:hAnsi="David"/>
          <w:u w:val="single"/>
          <w:rtl/>
        </w:rPr>
        <w:t xml:space="preserve">התקיימותם של חלק ממבחני </w:t>
      </w:r>
      <w:r>
        <w:rPr>
          <w:rFonts w:ascii="David" w:hAnsi="David"/>
          <w:b/>
          <w:bCs/>
          <w:u w:val="single"/>
          <w:rtl/>
        </w:rPr>
        <w:t>הלכת מרום</w:t>
      </w:r>
      <w:r>
        <w:rPr>
          <w:rFonts w:ascii="David" w:hAnsi="David"/>
          <w:u w:val="single"/>
          <w:rtl/>
        </w:rPr>
        <w:t>, כדלקמן</w:t>
      </w:r>
      <w:r>
        <w:rPr>
          <w:rFonts w:ascii="David" w:hAnsi="David"/>
          <w:rtl/>
        </w:rPr>
        <w:t xml:space="preserve">: </w:t>
      </w:r>
    </w:p>
    <w:p w:rsidR="00457B60" w:rsidRDefault="00457B60" w:rsidP="00457B60">
      <w:pPr>
        <w:spacing w:after="120" w:line="360" w:lineRule="auto"/>
        <w:ind w:left="2160" w:hanging="720"/>
        <w:jc w:val="both"/>
        <w:rPr>
          <w:rFonts w:ascii="David" w:hAnsi="David"/>
          <w:b/>
          <w:bCs/>
          <w:rtl/>
        </w:rPr>
      </w:pPr>
      <w:r>
        <w:rPr>
          <w:rFonts w:ascii="David" w:hAnsi="David"/>
          <w:rtl/>
        </w:rPr>
        <w:tab/>
      </w:r>
      <w:r>
        <w:rPr>
          <w:rFonts w:ascii="David" w:hAnsi="David"/>
          <w:u w:val="single"/>
          <w:rtl/>
        </w:rPr>
        <w:t>מבחן העצמאות</w:t>
      </w:r>
      <w:r>
        <w:rPr>
          <w:rFonts w:ascii="David" w:hAnsi="David"/>
          <w:rtl/>
        </w:rPr>
        <w:t xml:space="preserve"> – לגביו קבעה השופטת קמא בסעיף 133 לפסק הדין כי "</w:t>
      </w:r>
      <w:r>
        <w:rPr>
          <w:rFonts w:ascii="David" w:hAnsi="David"/>
          <w:b/>
          <w:bCs/>
          <w:rtl/>
        </w:rPr>
        <w:t xml:space="preserve">המנוח לא התנהל באופן עצמאי, כשהמטפל העיקרי בו היה </w:t>
      </w:r>
      <w:r w:rsidR="000F5BF7">
        <w:rPr>
          <w:rFonts w:ascii="David" w:hAnsi="David"/>
          <w:b/>
          <w:bCs/>
          <w:rtl/>
        </w:rPr>
        <w:t>ו'</w:t>
      </w:r>
      <w:r>
        <w:rPr>
          <w:rFonts w:ascii="David" w:hAnsi="David"/>
          <w:rtl/>
        </w:rPr>
        <w:t>";</w:t>
      </w:r>
    </w:p>
    <w:p w:rsidR="00457B60" w:rsidRDefault="00457B60" w:rsidP="00457B60">
      <w:pPr>
        <w:spacing w:after="120" w:line="360" w:lineRule="auto"/>
        <w:ind w:left="2160"/>
        <w:jc w:val="both"/>
        <w:rPr>
          <w:rFonts w:ascii="David" w:hAnsi="David"/>
          <w:b/>
          <w:bCs/>
          <w:rtl/>
        </w:rPr>
      </w:pPr>
      <w:r>
        <w:rPr>
          <w:rFonts w:ascii="David" w:hAnsi="David"/>
          <w:u w:val="single"/>
          <w:rtl/>
        </w:rPr>
        <w:t xml:space="preserve">מבחן התלות והסיוע </w:t>
      </w:r>
      <w:r>
        <w:rPr>
          <w:rFonts w:ascii="David" w:hAnsi="David"/>
          <w:rtl/>
        </w:rPr>
        <w:t>– לגביו קבעה השופטת קמא בסעיף 133 לפסק הדין כי</w:t>
      </w:r>
      <w:r>
        <w:rPr>
          <w:rFonts w:ascii="David" w:hAnsi="David"/>
          <w:b/>
          <w:bCs/>
          <w:rtl/>
        </w:rPr>
        <w:t xml:space="preserve"> </w:t>
      </w:r>
      <w:r>
        <w:rPr>
          <w:rFonts w:ascii="David" w:hAnsi="David"/>
          <w:rtl/>
        </w:rPr>
        <w:t>"</w:t>
      </w:r>
      <w:r>
        <w:rPr>
          <w:rFonts w:ascii="David" w:hAnsi="David"/>
          <w:b/>
          <w:bCs/>
          <w:rtl/>
        </w:rPr>
        <w:t>הגם כי אין חולק באשר לתלותו הפיזית של המנוח ב</w:t>
      </w:r>
      <w:r w:rsidR="000F5BF7">
        <w:rPr>
          <w:rFonts w:ascii="David" w:hAnsi="David"/>
          <w:b/>
          <w:bCs/>
          <w:rtl/>
        </w:rPr>
        <w:t>ו'</w:t>
      </w:r>
      <w:r>
        <w:rPr>
          <w:rFonts w:ascii="David" w:hAnsi="David"/>
          <w:b/>
          <w:bCs/>
          <w:rtl/>
        </w:rPr>
        <w:t>, אין בכך בלבד כדי ללמוד על יחסים החורגים מיחסי קרבה, אמון ודאגה הנהוגים בין אב לבנו על אחת כמה וכמה נוכח טיפולו בו ו/או על קיומה של השפעה בלתי הוגנת שהופעלה על המנוח....</w:t>
      </w:r>
      <w:r>
        <w:rPr>
          <w:rFonts w:ascii="David" w:hAnsi="David"/>
          <w:rtl/>
        </w:rPr>
        <w:t>".</w:t>
      </w:r>
    </w:p>
    <w:p w:rsidR="00457B60" w:rsidRDefault="00457B60" w:rsidP="00457B60">
      <w:pPr>
        <w:spacing w:after="120" w:line="360" w:lineRule="auto"/>
        <w:ind w:left="2160"/>
        <w:jc w:val="both"/>
        <w:rPr>
          <w:rFonts w:ascii="David" w:hAnsi="David"/>
          <w:rtl/>
        </w:rPr>
      </w:pPr>
      <w:r>
        <w:rPr>
          <w:rFonts w:ascii="David" w:hAnsi="David"/>
          <w:rtl/>
        </w:rPr>
        <w:t xml:space="preserve">בנדון העד </w:t>
      </w:r>
      <w:r w:rsidR="000F5BF7">
        <w:rPr>
          <w:rFonts w:ascii="David" w:hAnsi="David"/>
          <w:rtl/>
        </w:rPr>
        <w:t>ר'</w:t>
      </w:r>
      <w:r>
        <w:rPr>
          <w:rFonts w:ascii="David" w:hAnsi="David"/>
          <w:rtl/>
        </w:rPr>
        <w:t xml:space="preserve"> מציין כי ראה את </w:t>
      </w:r>
      <w:r w:rsidR="000F5BF7">
        <w:rPr>
          <w:rFonts w:ascii="David" w:hAnsi="David"/>
          <w:rtl/>
        </w:rPr>
        <w:t>ו'</w:t>
      </w:r>
      <w:r>
        <w:rPr>
          <w:rFonts w:ascii="David" w:hAnsi="David"/>
          <w:rtl/>
        </w:rPr>
        <w:t xml:space="preserve"> מחתל את אביו המנוח ואלה </w:t>
      </w:r>
      <w:r>
        <w:rPr>
          <w:rFonts w:ascii="David" w:hAnsi="David"/>
          <w:b/>
          <w:bCs/>
          <w:rtl/>
        </w:rPr>
        <w:t xml:space="preserve">"דברים שאי אפשר לשכוח" </w:t>
      </w:r>
      <w:r>
        <w:rPr>
          <w:rFonts w:ascii="David" w:hAnsi="David"/>
          <w:rtl/>
        </w:rPr>
        <w:t>(עמ' 529 לפרו' שו' 21-22).</w:t>
      </w:r>
    </w:p>
    <w:p w:rsidR="00457B60" w:rsidRDefault="00457B60" w:rsidP="00457B60">
      <w:pPr>
        <w:spacing w:after="120" w:line="360" w:lineRule="auto"/>
        <w:ind w:left="2160"/>
        <w:jc w:val="both"/>
        <w:rPr>
          <w:rFonts w:ascii="David" w:hAnsi="David"/>
          <w:rtl/>
        </w:rPr>
      </w:pPr>
      <w:r>
        <w:rPr>
          <w:rFonts w:ascii="David" w:hAnsi="David"/>
          <w:rtl/>
        </w:rPr>
        <w:t>היינו – הגם שהוא בנו, רואים כאן לכאורה תלות וסיוע של ממש בין המנוח ל</w:t>
      </w:r>
      <w:r w:rsidR="000F5BF7">
        <w:rPr>
          <w:rFonts w:ascii="David" w:hAnsi="David"/>
          <w:rtl/>
        </w:rPr>
        <w:t>ו'</w:t>
      </w:r>
      <w:r>
        <w:rPr>
          <w:rFonts w:ascii="David" w:hAnsi="David"/>
          <w:rtl/>
        </w:rPr>
        <w:t xml:space="preserve">. </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r>
      <w:r>
        <w:rPr>
          <w:rFonts w:ascii="David" w:hAnsi="David"/>
          <w:u w:val="single"/>
          <w:rtl/>
        </w:rPr>
        <w:t>נסיבות עריכת הצוואה</w:t>
      </w:r>
      <w:r>
        <w:rPr>
          <w:rFonts w:ascii="David" w:hAnsi="David"/>
          <w:rtl/>
        </w:rPr>
        <w:t xml:space="preserve"> – כאן קיצר בית משפט קמא בדבריו, בציינו (בסעיף 133 לפסק הדין) כי </w:t>
      </w:r>
      <w:r>
        <w:rPr>
          <w:rFonts w:ascii="David" w:hAnsi="David"/>
          <w:b/>
          <w:bCs/>
          <w:rtl/>
        </w:rPr>
        <w:t>"כמפורט לעיל, לא הוכח כי ל</w:t>
      </w:r>
      <w:r w:rsidR="000F5BF7">
        <w:rPr>
          <w:rFonts w:ascii="David" w:hAnsi="David"/>
          <w:b/>
          <w:bCs/>
          <w:rtl/>
        </w:rPr>
        <w:t>ו'</w:t>
      </w:r>
      <w:r>
        <w:rPr>
          <w:rFonts w:ascii="David" w:hAnsi="David"/>
          <w:b/>
          <w:bCs/>
          <w:rtl/>
        </w:rPr>
        <w:t xml:space="preserve"> מעורבות כלשהי בעריכת הצוואה"</w:t>
      </w:r>
      <w:r>
        <w:rPr>
          <w:rFonts w:ascii="David" w:hAnsi="David"/>
          <w:rtl/>
        </w:rPr>
        <w:t>. ברם כפי שציינו לעיל, בנסיבות התמוהות המצטברות דנן, לרבות הראיות החדשות, יחייב הדבר בחינה מחדש על ידי השופטת קמא.</w:t>
      </w:r>
    </w:p>
    <w:p w:rsidR="00457B60" w:rsidRDefault="00457B60" w:rsidP="00457B60">
      <w:pPr>
        <w:spacing w:after="120" w:line="360" w:lineRule="auto"/>
        <w:ind w:left="1440" w:hanging="720"/>
        <w:jc w:val="both"/>
        <w:rPr>
          <w:rFonts w:ascii="David" w:hAnsi="David"/>
          <w:rtl/>
        </w:rPr>
      </w:pPr>
      <w:r>
        <w:rPr>
          <w:rFonts w:ascii="David" w:hAnsi="David"/>
          <w:rtl/>
        </w:rPr>
        <w:t>ה.</w:t>
      </w:r>
      <w:r>
        <w:rPr>
          <w:rFonts w:ascii="David" w:hAnsi="David"/>
          <w:rtl/>
        </w:rPr>
        <w:tab/>
        <w:t xml:space="preserve">כל אלה מובילים למסקנה ולקביעה, כי נטל השכנוע לשלול השפעה בלתי הוגנת צריך היה להיות מועבר לכתפי </w:t>
      </w:r>
      <w:r w:rsidR="000F5BF7">
        <w:rPr>
          <w:rFonts w:ascii="David" w:hAnsi="David"/>
          <w:rtl/>
        </w:rPr>
        <w:t>ו'</w:t>
      </w:r>
      <w:r>
        <w:rPr>
          <w:rFonts w:ascii="David" w:hAnsi="David"/>
          <w:rtl/>
        </w:rPr>
        <w:t xml:space="preserve">, ובניגוד לקביעת השופטת קמא בסעיף 134 לפסק הדין כי: </w:t>
      </w:r>
      <w:r>
        <w:rPr>
          <w:rFonts w:ascii="David" w:hAnsi="David"/>
          <w:b/>
          <w:bCs/>
          <w:rtl/>
        </w:rPr>
        <w:t xml:space="preserve">"מהאמור לעיל עולה, כי </w:t>
      </w:r>
      <w:r w:rsidR="000F5BF7">
        <w:rPr>
          <w:rFonts w:ascii="David" w:hAnsi="David"/>
          <w:b/>
          <w:bCs/>
          <w:rtl/>
        </w:rPr>
        <w:t>ס'</w:t>
      </w:r>
      <w:r>
        <w:rPr>
          <w:rFonts w:ascii="David" w:hAnsi="David"/>
          <w:b/>
          <w:bCs/>
          <w:rtl/>
        </w:rPr>
        <w:t xml:space="preserve"> לא הרים את הנטל המוטל עליו להוכיח טענותיו לעניין השפעה בלתי הוגנת, ולא הוכיח התקיימות התנאים לקביעת קיומה של השפעה בלתי הוגנת על המנוח"</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tab/>
        <w:t xml:space="preserve">באי העברת נטל השכנוע כאמור לשלילת השפעה בלתי הוגנת לכתפיו של </w:t>
      </w:r>
      <w:r w:rsidR="000F5BF7">
        <w:rPr>
          <w:rFonts w:ascii="David" w:hAnsi="David"/>
          <w:rtl/>
        </w:rPr>
        <w:t>ו'</w:t>
      </w:r>
      <w:r>
        <w:rPr>
          <w:rFonts w:ascii="David" w:hAnsi="David"/>
          <w:rtl/>
        </w:rPr>
        <w:t xml:space="preserve">, טעה בית המשפט קמא. </w:t>
      </w:r>
    </w:p>
    <w:p w:rsidR="00457B60" w:rsidRDefault="00457B60" w:rsidP="00A0376F">
      <w:pPr>
        <w:spacing w:after="120" w:line="360" w:lineRule="auto"/>
        <w:ind w:left="1440"/>
        <w:jc w:val="both"/>
        <w:rPr>
          <w:rFonts w:ascii="David" w:hAnsi="David"/>
          <w:u w:val="single"/>
          <w:rtl/>
        </w:rPr>
      </w:pPr>
      <w:r>
        <w:rPr>
          <w:rFonts w:ascii="David" w:hAnsi="David"/>
          <w:b/>
          <w:bCs/>
          <w:rtl/>
        </w:rPr>
        <w:t>לכן מן</w:t>
      </w:r>
      <w:r>
        <w:rPr>
          <w:rFonts w:ascii="David" w:hAnsi="David"/>
          <w:rtl/>
        </w:rPr>
        <w:t xml:space="preserve"> </w:t>
      </w:r>
      <w:r>
        <w:rPr>
          <w:rFonts w:ascii="David" w:hAnsi="David"/>
          <w:b/>
          <w:bCs/>
          <w:rtl/>
        </w:rPr>
        <w:t xml:space="preserve">הראוי לקבל את הערעור בשאלת ההשפעה הבלתי הוגנת, ולהחזיר את ההליך לבית משפט קמא לבחון את הכרעתו בשנית, כשהפעם נטל השכנוע יוטל על </w:t>
      </w:r>
      <w:r w:rsidR="000F5BF7">
        <w:rPr>
          <w:rFonts w:ascii="David" w:hAnsi="David"/>
          <w:b/>
          <w:bCs/>
          <w:rtl/>
        </w:rPr>
        <w:t>ו'</w:t>
      </w:r>
      <w:r>
        <w:rPr>
          <w:rFonts w:ascii="David" w:hAnsi="David"/>
          <w:b/>
          <w:bCs/>
          <w:rtl/>
        </w:rPr>
        <w:t xml:space="preserve">.  </w:t>
      </w:r>
    </w:p>
    <w:p w:rsidR="00B409BD" w:rsidRDefault="00B409BD" w:rsidP="00A0376F">
      <w:pPr>
        <w:spacing w:after="120" w:line="360" w:lineRule="auto"/>
        <w:ind w:left="1440"/>
        <w:jc w:val="both"/>
        <w:rPr>
          <w:rFonts w:ascii="David" w:hAnsi="David"/>
          <w:u w:val="single"/>
          <w:rtl/>
        </w:rPr>
      </w:pPr>
    </w:p>
    <w:p w:rsidR="00B409BD" w:rsidRDefault="00B409BD" w:rsidP="00A0376F">
      <w:pPr>
        <w:spacing w:after="120" w:line="360" w:lineRule="auto"/>
        <w:ind w:left="1440"/>
        <w:jc w:val="both"/>
        <w:rPr>
          <w:rFonts w:ascii="David" w:hAnsi="David"/>
          <w:u w:val="single"/>
          <w:rtl/>
        </w:rPr>
      </w:pPr>
    </w:p>
    <w:p w:rsidR="00457B60" w:rsidRDefault="00457B60" w:rsidP="00457B60">
      <w:pPr>
        <w:spacing w:after="120" w:line="360" w:lineRule="auto"/>
        <w:jc w:val="both"/>
        <w:rPr>
          <w:rFonts w:ascii="David" w:hAnsi="David"/>
          <w:rtl/>
        </w:rPr>
      </w:pPr>
      <w:r>
        <w:rPr>
          <w:rFonts w:ascii="David" w:hAnsi="David"/>
          <w:rtl/>
        </w:rPr>
        <w:lastRenderedPageBreak/>
        <w:t>63.</w:t>
      </w:r>
      <w:r>
        <w:rPr>
          <w:rFonts w:ascii="David" w:hAnsi="David"/>
          <w:rtl/>
        </w:rPr>
        <w:tab/>
      </w:r>
      <w:r>
        <w:rPr>
          <w:rFonts w:ascii="David" w:hAnsi="David"/>
          <w:b/>
          <w:bCs/>
          <w:u w:val="single"/>
          <w:rtl/>
        </w:rPr>
        <w:t>כשרותו של המנוח לצוות במועד עריכת הצוואה שבמחלוקת</w:t>
      </w:r>
    </w:p>
    <w:p w:rsidR="00457B60" w:rsidRDefault="00457B60" w:rsidP="00457B60">
      <w:pPr>
        <w:spacing w:after="120" w:line="360" w:lineRule="auto"/>
        <w:ind w:left="1440" w:hanging="720"/>
        <w:jc w:val="both"/>
        <w:rPr>
          <w:rFonts w:ascii="David" w:hAnsi="David"/>
          <w:rtl/>
        </w:rPr>
      </w:pPr>
      <w:r>
        <w:rPr>
          <w:rFonts w:ascii="David" w:hAnsi="David"/>
          <w:rtl/>
        </w:rPr>
        <w:t>א.</w:t>
      </w:r>
      <w:r>
        <w:rPr>
          <w:rFonts w:ascii="David" w:hAnsi="David"/>
          <w:rtl/>
        </w:rPr>
        <w:tab/>
        <w:t xml:space="preserve">בנדון נטען בערעורו של </w:t>
      </w:r>
      <w:r w:rsidR="000F5BF7">
        <w:rPr>
          <w:rFonts w:ascii="David" w:hAnsi="David"/>
          <w:rtl/>
        </w:rPr>
        <w:t>מ'</w:t>
      </w:r>
      <w:r>
        <w:rPr>
          <w:rFonts w:ascii="David" w:hAnsi="David"/>
          <w:rtl/>
        </w:rPr>
        <w:t>, כי בית המשפט התמקד בנדון בבחינת כשרותו של המנוח מבחינה רפואית גרידא. משמצא שמצבו הרפואי של המנוח היה תקין הכשיר הצוואה.</w:t>
      </w:r>
    </w:p>
    <w:p w:rsidR="00457B60" w:rsidRDefault="00457B60" w:rsidP="00457B60">
      <w:pPr>
        <w:spacing w:after="120" w:line="360" w:lineRule="auto"/>
        <w:ind w:left="1440" w:hanging="720"/>
        <w:jc w:val="both"/>
        <w:rPr>
          <w:rFonts w:ascii="David" w:hAnsi="David"/>
          <w:rtl/>
        </w:rPr>
      </w:pPr>
      <w:r>
        <w:rPr>
          <w:rFonts w:ascii="David" w:hAnsi="David"/>
          <w:rtl/>
        </w:rPr>
        <w:tab/>
        <w:t>ברם היה על בית המשפט לבחון בעניין כשרות המנוח את מודעותו לכך שעורך צוואה, היקף רכושו, היקף יורשיו, ותוצאות צוואתו (שמדיר יורשים אחרים).</w:t>
      </w:r>
    </w:p>
    <w:p w:rsidR="00457B60" w:rsidRDefault="00457B60" w:rsidP="00457B60">
      <w:pPr>
        <w:spacing w:after="120" w:line="360" w:lineRule="auto"/>
        <w:ind w:left="1440" w:hanging="720"/>
        <w:jc w:val="both"/>
        <w:rPr>
          <w:rFonts w:ascii="David" w:hAnsi="David"/>
          <w:rtl/>
        </w:rPr>
      </w:pPr>
      <w:r>
        <w:rPr>
          <w:rFonts w:ascii="David" w:hAnsi="David"/>
          <w:rtl/>
        </w:rPr>
        <w:tab/>
        <w:t xml:space="preserve">נקודות אלה לא הוכחו, ולכן לא ניתן לומר כי הוכחה כשרותו של המנוח לחתום על הצוואה שבמחלוקת (ראו סעיף 28 לעיל). </w:t>
      </w:r>
    </w:p>
    <w:p w:rsidR="00457B60" w:rsidRDefault="00457B60" w:rsidP="00457B60">
      <w:pPr>
        <w:spacing w:after="120" w:line="360" w:lineRule="auto"/>
        <w:ind w:left="1440" w:hanging="720"/>
        <w:jc w:val="both"/>
        <w:rPr>
          <w:rFonts w:ascii="David" w:hAnsi="David"/>
          <w:rtl/>
        </w:rPr>
      </w:pPr>
      <w:r>
        <w:rPr>
          <w:rFonts w:ascii="David" w:hAnsi="David"/>
          <w:rtl/>
        </w:rPr>
        <w:t>ב.</w:t>
      </w:r>
      <w:r>
        <w:rPr>
          <w:rFonts w:ascii="David" w:hAnsi="David"/>
          <w:rtl/>
        </w:rPr>
        <w:tab/>
      </w:r>
      <w:r>
        <w:rPr>
          <w:rFonts w:ascii="David" w:hAnsi="David"/>
          <w:u w:val="single"/>
          <w:rtl/>
        </w:rPr>
        <w:t>בנדון ציין בית משפט בסעיף 133 לפסק הדין, כי</w:t>
      </w:r>
      <w:r>
        <w:rPr>
          <w:rFonts w:ascii="David" w:hAnsi="David"/>
          <w:rtl/>
        </w:rPr>
        <w:t>:</w:t>
      </w:r>
    </w:p>
    <w:p w:rsidR="00457B60" w:rsidRDefault="00457B60" w:rsidP="00457B60">
      <w:pPr>
        <w:spacing w:after="120" w:line="360" w:lineRule="auto"/>
        <w:ind w:left="2160" w:right="709"/>
        <w:jc w:val="both"/>
        <w:rPr>
          <w:rFonts w:ascii="David" w:hAnsi="David"/>
          <w:b/>
          <w:bCs/>
          <w:rtl/>
        </w:rPr>
      </w:pPr>
      <w:r>
        <w:rPr>
          <w:rFonts w:ascii="David" w:hAnsi="David"/>
          <w:rtl/>
        </w:rPr>
        <w:t>"...</w:t>
      </w:r>
      <w:r>
        <w:rPr>
          <w:rFonts w:ascii="David" w:hAnsi="David"/>
          <w:b/>
          <w:bCs/>
          <w:rtl/>
        </w:rPr>
        <w:t xml:space="preserve">לא הובהר, האם המנוח נדרש לסיוע בפעולות שאינן פעולות פיזיות/יומיות - כך לדוגמא, האם היה מסוגל לנהל רכושו ו/או אדמותיו? האם נדרש לסיוע בניהול חשבונו ו/או כספיו? </w:t>
      </w:r>
    </w:p>
    <w:p w:rsidR="00457B60" w:rsidRDefault="00457B60" w:rsidP="00457B60">
      <w:pPr>
        <w:spacing w:after="120" w:line="360" w:lineRule="auto"/>
        <w:ind w:left="2160" w:right="709"/>
        <w:jc w:val="both"/>
        <w:rPr>
          <w:rFonts w:ascii="David" w:hAnsi="David"/>
          <w:b/>
          <w:bCs/>
          <w:rtl/>
        </w:rPr>
      </w:pPr>
      <w:r>
        <w:rPr>
          <w:rFonts w:ascii="David" w:hAnsi="David"/>
          <w:b/>
          <w:bCs/>
          <w:rtl/>
        </w:rPr>
        <w:t xml:space="preserve">כאמור לעיל, כב' הרשם הבכיר (בדימוס) מר </w:t>
      </w:r>
      <w:r w:rsidR="000F5BF7">
        <w:rPr>
          <w:rFonts w:ascii="David" w:hAnsi="David"/>
          <w:b/>
          <w:bCs/>
          <w:rtl/>
        </w:rPr>
        <w:t>ר'</w:t>
      </w:r>
      <w:r>
        <w:rPr>
          <w:rFonts w:ascii="David" w:hAnsi="David"/>
          <w:b/>
          <w:bCs/>
          <w:rtl/>
        </w:rPr>
        <w:t xml:space="preserve"> העיד, כי המנוח הוא שהביע בפניו את רצונותיו בכל הנוגע לצוואתו, שלוש פעמים.  </w:t>
      </w:r>
    </w:p>
    <w:p w:rsidR="00457B60" w:rsidRDefault="00457B60" w:rsidP="00457B60">
      <w:pPr>
        <w:spacing w:after="120" w:line="360" w:lineRule="auto"/>
        <w:ind w:left="2160" w:right="709"/>
        <w:jc w:val="both"/>
        <w:rPr>
          <w:rFonts w:ascii="David" w:hAnsi="David"/>
          <w:rtl/>
        </w:rPr>
      </w:pPr>
      <w:r>
        <w:rPr>
          <w:rFonts w:ascii="David" w:hAnsi="David"/>
          <w:b/>
          <w:bCs/>
          <w:rtl/>
        </w:rPr>
        <w:t>כאמור, אף מעדותם של יתר העדים עולה כי התרשמו בדבר היות המנוח כשיר, ויודע רצונותיו. מר מתא אף העיד כי המנוח נדרש לשכנע אותו על מנת שיחתום כעד קיום לצוואה".</w:t>
      </w:r>
    </w:p>
    <w:p w:rsidR="00457B60" w:rsidRDefault="00457B60" w:rsidP="00457B60">
      <w:pPr>
        <w:spacing w:after="120" w:line="360" w:lineRule="auto"/>
        <w:ind w:left="1440" w:hanging="720"/>
        <w:jc w:val="both"/>
        <w:rPr>
          <w:rFonts w:ascii="David" w:hAnsi="David"/>
          <w:rtl/>
        </w:rPr>
      </w:pPr>
      <w:r>
        <w:rPr>
          <w:rFonts w:ascii="David" w:hAnsi="David"/>
          <w:rtl/>
        </w:rPr>
        <w:tab/>
      </w:r>
      <w:r>
        <w:rPr>
          <w:rFonts w:ascii="David" w:hAnsi="David"/>
          <w:u w:val="single"/>
          <w:rtl/>
        </w:rPr>
        <w:t>בסעיף זה ציינה השופטת קמא, די בקצרה, כי התרשמה שהמנוח הבין את טיבה של הצוואה שבמחלוקת, בהסתמך על</w:t>
      </w:r>
      <w:r>
        <w:rPr>
          <w:rFonts w:ascii="David" w:hAnsi="David"/>
          <w:rtl/>
        </w:rPr>
        <w:t>:</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 xml:space="preserve">עדותו של </w:t>
      </w:r>
      <w:r w:rsidR="000F5BF7">
        <w:rPr>
          <w:rFonts w:ascii="David" w:hAnsi="David"/>
          <w:rtl/>
        </w:rPr>
        <w:t>ר'</w:t>
      </w:r>
      <w:r>
        <w:rPr>
          <w:rFonts w:ascii="David" w:hAnsi="David"/>
          <w:rtl/>
        </w:rPr>
        <w:t xml:space="preserve"> (שהעיד, כי המנוח הוא שהביע בפניו את רצונותיו בכל הנוגע לצוואתו, שלוש פעמים).  </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 xml:space="preserve">עדותם של עדים נוספים, שמעדותם עולה כי התרשמו בדבר היות המנוח כשיר, ויודע רצונותיו. </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עדותו של מתא, עד הקיום, שהעיד כי המנוח נדרש לשכנע אותו על מנת שיחתום כעד קיום לצוואה.</w:t>
      </w:r>
    </w:p>
    <w:p w:rsidR="00457B60" w:rsidRDefault="00457B60" w:rsidP="00457B60">
      <w:pPr>
        <w:spacing w:after="120" w:line="360" w:lineRule="auto"/>
        <w:ind w:left="720" w:firstLine="720"/>
        <w:jc w:val="both"/>
        <w:rPr>
          <w:rFonts w:ascii="David" w:hAnsi="David"/>
          <w:rtl/>
        </w:rPr>
      </w:pPr>
      <w:r>
        <w:rPr>
          <w:rFonts w:ascii="David" w:hAnsi="David"/>
          <w:u w:val="single"/>
          <w:rtl/>
        </w:rPr>
        <w:t>לטעמי כאמור</w:t>
      </w:r>
      <w:r>
        <w:rPr>
          <w:rFonts w:ascii="David" w:hAnsi="David"/>
          <w:rtl/>
        </w:rPr>
        <w:t>:</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 xml:space="preserve">הסתמכותה בנדון על עדותו של </w:t>
      </w:r>
      <w:r w:rsidR="000F5BF7">
        <w:rPr>
          <w:rFonts w:ascii="David" w:hAnsi="David"/>
          <w:rtl/>
        </w:rPr>
        <w:t>ר'</w:t>
      </w:r>
      <w:r>
        <w:rPr>
          <w:rFonts w:ascii="David" w:hAnsi="David"/>
          <w:rtl/>
        </w:rPr>
        <w:t xml:space="preserve">, שהסתיר את עובדת ייצוגו של </w:t>
      </w:r>
      <w:r w:rsidR="000F5BF7">
        <w:rPr>
          <w:rFonts w:ascii="David" w:hAnsi="David"/>
          <w:rtl/>
        </w:rPr>
        <w:t>ו'</w:t>
      </w:r>
      <w:r>
        <w:rPr>
          <w:rFonts w:ascii="David" w:hAnsi="David"/>
          <w:rtl/>
        </w:rPr>
        <w:t xml:space="preserve"> על ידו בסכסוך האחים, ועל עד הקיום מתא, בו בית משפט לא נתן אמון, עם הותרת סימן שאלה (כמצוין בסעיף 133 לפסק הדין) בדבר הסיוע הנדרש למנוח לנהל את רכושו באופן עצמאי, </w:t>
      </w:r>
      <w:r>
        <w:rPr>
          <w:rFonts w:ascii="David" w:hAnsi="David"/>
          <w:b/>
          <w:bCs/>
          <w:rtl/>
        </w:rPr>
        <w:t>בעייתית משהו</w:t>
      </w:r>
      <w:r>
        <w:rPr>
          <w:rFonts w:ascii="David" w:hAnsi="David"/>
          <w:rtl/>
        </w:rPr>
        <w:t xml:space="preserve"> </w:t>
      </w:r>
      <w:r>
        <w:rPr>
          <w:rFonts w:ascii="David" w:hAnsi="David"/>
          <w:rtl/>
        </w:rPr>
        <w:lastRenderedPageBreak/>
        <w:t xml:space="preserve">ומצדיקים לכאורה את העברת נטל השכנוע בנדון לכתפיו של </w:t>
      </w:r>
      <w:r w:rsidR="000F5BF7">
        <w:rPr>
          <w:rFonts w:ascii="David" w:hAnsi="David"/>
          <w:rtl/>
        </w:rPr>
        <w:t>ו'</w:t>
      </w:r>
      <w:r>
        <w:rPr>
          <w:rFonts w:ascii="David" w:hAnsi="David"/>
          <w:rtl/>
        </w:rPr>
        <w:t xml:space="preserve"> (זאת מעבר לפגמים צורניים אפשריים בצוואה ונסיבות עריכתה והחתמתה);</w:t>
      </w:r>
    </w:p>
    <w:p w:rsidR="00457B60" w:rsidRDefault="00457B60" w:rsidP="00457B60">
      <w:pPr>
        <w:spacing w:after="120" w:line="360" w:lineRule="auto"/>
        <w:ind w:left="2160" w:hanging="720"/>
        <w:jc w:val="both"/>
        <w:rPr>
          <w:rFonts w:ascii="David" w:hAnsi="David"/>
          <w:rtl/>
        </w:rPr>
      </w:pPr>
      <w:r>
        <w:rPr>
          <w:rFonts w:ascii="David" w:hAnsi="David"/>
          <w:rtl/>
        </w:rPr>
        <w:t>*</w:t>
      </w:r>
      <w:r>
        <w:rPr>
          <w:rFonts w:ascii="David" w:hAnsi="David"/>
          <w:rtl/>
        </w:rPr>
        <w:tab/>
        <w:t xml:space="preserve">הסתמכותה של השופטת קמא על עדים נוספים אינה ברורה דיה, שהרי אין פירוט בפסק הדין בהקשר הנדון, מי העדים הנוספים, מה תוכן עדותם והאם עדותם עוסקת במועד עריכת הצוואה שבמחלוקת, שזה המועד הקובע לעניין זה.  </w:t>
      </w:r>
    </w:p>
    <w:p w:rsidR="00457B60" w:rsidRDefault="00457B60" w:rsidP="00457B60">
      <w:pPr>
        <w:spacing w:after="120" w:line="360" w:lineRule="auto"/>
        <w:jc w:val="both"/>
        <w:rPr>
          <w:rFonts w:ascii="David" w:hAnsi="David"/>
          <w:rtl/>
        </w:rPr>
      </w:pPr>
      <w:r>
        <w:rPr>
          <w:rFonts w:ascii="David" w:hAnsi="David"/>
          <w:rtl/>
        </w:rPr>
        <w:tab/>
        <w:t>ג.</w:t>
      </w:r>
      <w:r>
        <w:rPr>
          <w:rFonts w:ascii="David" w:hAnsi="David"/>
          <w:rtl/>
        </w:rPr>
        <w:tab/>
      </w:r>
      <w:r>
        <w:rPr>
          <w:rFonts w:ascii="David" w:hAnsi="David"/>
          <w:u w:val="single"/>
          <w:rtl/>
        </w:rPr>
        <w:t>מעבר לכך – סעיף 26 לחוק הירושה קובע כדלקמן</w:t>
      </w:r>
      <w:r>
        <w:rPr>
          <w:rFonts w:ascii="David" w:hAnsi="David"/>
          <w:rtl/>
        </w:rPr>
        <w:t>:</w:t>
      </w:r>
    </w:p>
    <w:p w:rsidR="00457B60" w:rsidRDefault="00457B60" w:rsidP="00457B60">
      <w:pPr>
        <w:spacing w:after="120" w:line="360" w:lineRule="auto"/>
        <w:ind w:left="2160" w:right="709"/>
        <w:jc w:val="both"/>
        <w:rPr>
          <w:rFonts w:ascii="David" w:hAnsi="David"/>
          <w:rtl/>
        </w:rPr>
      </w:pPr>
      <w:r>
        <w:rPr>
          <w:rFonts w:ascii="David" w:hAnsi="David"/>
          <w:b/>
          <w:bCs/>
          <w:rtl/>
        </w:rPr>
        <w:t>"צוואה שנעשתה על ידי קטין או על ידי מי שהוכרז פסול-דין או שנעשתה בשעה שהמצווה לא ידע להבחין בטיבה של צוואה – בטלה"</w:t>
      </w:r>
      <w:r>
        <w:rPr>
          <w:rFonts w:ascii="David" w:hAnsi="David"/>
          <w:rtl/>
        </w:rPr>
        <w:t>.</w:t>
      </w:r>
    </w:p>
    <w:p w:rsidR="00457B60" w:rsidRDefault="00457B60" w:rsidP="00457B60">
      <w:pPr>
        <w:spacing w:after="120" w:line="360" w:lineRule="auto"/>
        <w:ind w:right="709"/>
        <w:jc w:val="both"/>
        <w:rPr>
          <w:rFonts w:ascii="David" w:hAnsi="David"/>
          <w:rtl/>
        </w:rPr>
      </w:pPr>
      <w:r>
        <w:rPr>
          <w:rFonts w:ascii="David" w:hAnsi="David"/>
          <w:b/>
          <w:bCs/>
          <w:rtl/>
        </w:rPr>
        <w:tab/>
      </w:r>
      <w:r>
        <w:rPr>
          <w:rFonts w:ascii="David" w:hAnsi="David"/>
          <w:b/>
          <w:bCs/>
          <w:rtl/>
        </w:rPr>
        <w:tab/>
      </w:r>
      <w:r>
        <w:rPr>
          <w:rFonts w:ascii="David" w:hAnsi="David"/>
          <w:u w:val="single"/>
          <w:rtl/>
        </w:rPr>
        <w:t>על חוסר הכושר להבחין בטיבה של צוואה, ציין שוחט בספרו כדלקמן</w:t>
      </w:r>
      <w:r>
        <w:rPr>
          <w:rFonts w:ascii="David" w:hAnsi="David"/>
          <w:rtl/>
        </w:rPr>
        <w:t>:</w:t>
      </w:r>
    </w:p>
    <w:p w:rsidR="00457B60" w:rsidRDefault="00457B60" w:rsidP="00457B60">
      <w:pPr>
        <w:spacing w:after="120" w:line="360" w:lineRule="auto"/>
        <w:ind w:left="2160" w:right="709"/>
        <w:jc w:val="both"/>
        <w:rPr>
          <w:rFonts w:ascii="David" w:hAnsi="David"/>
          <w:b/>
          <w:bCs/>
          <w:rtl/>
        </w:rPr>
      </w:pPr>
      <w:r>
        <w:rPr>
          <w:rFonts w:ascii="David" w:hAnsi="David"/>
          <w:b/>
          <w:bCs/>
          <w:rtl/>
        </w:rPr>
        <w:t>"... הגבלת כושר זו שאליה מכוונת הוראת סעיף 26 לחוק הירושה, עניינה מצבו הנפשי – מנטלי – קוגניטיבי של המצווה ויכולתו להבין את מהותה של הפעולה המשפטית שאותה הוא עושה, כלומר הצוואה. נטל השכנוע... באשר לקיומה של ההגבלה מוטל על מי שרוצה להיבנות ממנו, ובצוואה הנראית תקינה מבחינה צורנית – על המתנגד לה...</w:t>
      </w:r>
    </w:p>
    <w:p w:rsidR="00457B60" w:rsidRDefault="00457B60" w:rsidP="00457B60">
      <w:pPr>
        <w:spacing w:after="120" w:line="360" w:lineRule="auto"/>
        <w:ind w:left="1440" w:right="709" w:firstLine="720"/>
        <w:jc w:val="both"/>
        <w:rPr>
          <w:rFonts w:ascii="David" w:hAnsi="David"/>
          <w:b/>
          <w:bCs/>
          <w:rtl/>
        </w:rPr>
      </w:pPr>
      <w:r>
        <w:rPr>
          <w:rFonts w:ascii="David" w:hAnsi="David"/>
          <w:b/>
          <w:bCs/>
          <w:rtl/>
        </w:rPr>
        <w:t>חומר הראיות צריך להיות נכון למועד עריכתה של הצוואה...</w:t>
      </w:r>
    </w:p>
    <w:p w:rsidR="00457B60" w:rsidRDefault="00457B60" w:rsidP="00457B60">
      <w:pPr>
        <w:spacing w:after="120" w:line="360" w:lineRule="auto"/>
        <w:ind w:left="2160" w:right="709"/>
        <w:jc w:val="both"/>
        <w:rPr>
          <w:rFonts w:ascii="David" w:hAnsi="David"/>
          <w:b/>
          <w:bCs/>
          <w:rtl/>
        </w:rPr>
      </w:pPr>
      <w:r>
        <w:rPr>
          <w:rFonts w:ascii="David" w:hAnsi="David"/>
          <w:b/>
          <w:bCs/>
          <w:rtl/>
        </w:rPr>
        <w:t xml:space="preserve">אין די בכך שהמצווה עמד על משמעותה של הצוואה והבין את תוכנה. </w:t>
      </w:r>
      <w:r>
        <w:rPr>
          <w:rFonts w:ascii="David" w:hAnsi="David"/>
          <w:b/>
          <w:bCs/>
          <w:u w:val="single"/>
          <w:rtl/>
        </w:rPr>
        <w:t>המבחן הוא רחב יותר</w:t>
      </w:r>
      <w:r>
        <w:rPr>
          <w:rFonts w:ascii="David" w:hAnsi="David"/>
          <w:b/>
          <w:bCs/>
          <w:rtl/>
        </w:rPr>
        <w:t xml:space="preserve"> </w:t>
      </w:r>
      <w:r>
        <w:rPr>
          <w:rFonts w:ascii="David" w:hAnsi="David"/>
          <w:rtl/>
        </w:rPr>
        <w:t>(ההדגשה שלי – ח"ש)</w:t>
      </w:r>
      <w:r>
        <w:rPr>
          <w:rFonts w:ascii="David" w:hAnsi="David"/>
          <w:b/>
          <w:bCs/>
          <w:rtl/>
        </w:rPr>
        <w:t xml:space="preserve">: האם היה המצווה מודע למהות מעשיו ולתוצאותיהם? לשם עמידה בבחינה זו עליו להיות מודע הן לעובדה שהוא עורך צוואה... הן להיקף רכושו ולזהות יורשיו הן להשפעת תוכנה של הצוואה שעשה על היורשים לפיה ועל המודרים ממנה (לאמור, שהוא היה מודע לציפיותיהם של אלה שהוא מיטיב עמם ושל אלה שאותם הוא מדיר מצוואתו). מכאן שהמצווה חייב להבין את פעולת הציווי לא רק מבחינה פורמלית – תוכנית, אלא גם מבחינה מהותית. רק כך ניתן לקבוע כי תוכן הצוואה הנו פרי הפעלת שיקול דעת עצמאי משלו ולהורות על קיומה. עם זאת, ברור שאין בדרישה לקיום המודעות האמורה להטיל חובה שהצוואה תיערך בתבונה או בסבירות או שתהא בה מידה של הומניות. כל אלה הם עניין לרצונותיו של המצווה. די לבית המשפט שישתכנע כי היה בהתנהגותו הכללית של המצווה בעת עשיית הצוואה והחתימה עליה כדי להצביע שהמצווה ידע להבחין בטיבה של צוואה" </w:t>
      </w:r>
      <w:r>
        <w:rPr>
          <w:rFonts w:ascii="David" w:hAnsi="David"/>
          <w:rtl/>
        </w:rPr>
        <w:t xml:space="preserve">(ציטוטים מעמ' 162-167). </w:t>
      </w:r>
    </w:p>
    <w:p w:rsidR="00457B60" w:rsidRDefault="00457B60" w:rsidP="00457B60">
      <w:pPr>
        <w:spacing w:after="120" w:line="360" w:lineRule="auto"/>
        <w:ind w:left="1440" w:hanging="720"/>
        <w:jc w:val="both"/>
        <w:rPr>
          <w:rFonts w:ascii="David" w:hAnsi="David"/>
          <w:rtl/>
        </w:rPr>
      </w:pPr>
      <w:r>
        <w:rPr>
          <w:rFonts w:ascii="David" w:hAnsi="David"/>
          <w:rtl/>
        </w:rPr>
        <w:t>ד.</w:t>
      </w:r>
      <w:r>
        <w:rPr>
          <w:rFonts w:ascii="David" w:hAnsi="David"/>
          <w:b/>
          <w:bCs/>
          <w:rtl/>
        </w:rPr>
        <w:tab/>
      </w:r>
      <w:r>
        <w:rPr>
          <w:rFonts w:ascii="David" w:hAnsi="David"/>
          <w:rtl/>
        </w:rPr>
        <w:t>במקרה דנן – נסיבות עריכת הצוואה שבמחלוקת והחתמתה (על ידי המנוח ועדי הקיום), הפגמים הצורניים האפשריים שבה, הדרת שני אחים (</w:t>
      </w:r>
      <w:r w:rsidR="000F5BF7">
        <w:rPr>
          <w:rFonts w:ascii="David" w:hAnsi="David"/>
          <w:rtl/>
        </w:rPr>
        <w:t>ס'</w:t>
      </w:r>
      <w:r>
        <w:rPr>
          <w:rFonts w:ascii="David" w:hAnsi="David"/>
          <w:rtl/>
        </w:rPr>
        <w:t xml:space="preserve"> ו</w:t>
      </w:r>
      <w:r w:rsidR="000F5BF7">
        <w:rPr>
          <w:rFonts w:ascii="David" w:hAnsi="David"/>
          <w:rtl/>
        </w:rPr>
        <w:t>מ'</w:t>
      </w:r>
      <w:r>
        <w:rPr>
          <w:rFonts w:ascii="David" w:hAnsi="David"/>
          <w:rtl/>
        </w:rPr>
        <w:t xml:space="preserve">) ממנה (לעומת שתי הצוואות הראשונות) תוך פרק זמן קצר מהצוואות הקודמות ללא סיבה נראית לעין, היו צריכים להוביל את בית משפט קמא </w:t>
      </w:r>
      <w:r>
        <w:rPr>
          <w:rFonts w:ascii="David" w:hAnsi="David"/>
          <w:rtl/>
        </w:rPr>
        <w:lastRenderedPageBreak/>
        <w:t xml:space="preserve">לקבוע, כי נטל השכנוע להבנת המצווה את הצוואה בהתאם </w:t>
      </w:r>
      <w:r>
        <w:rPr>
          <w:rFonts w:ascii="David" w:hAnsi="David"/>
          <w:u w:val="single"/>
          <w:rtl/>
        </w:rPr>
        <w:t>למבחן הרחב</w:t>
      </w:r>
      <w:r>
        <w:rPr>
          <w:rFonts w:ascii="David" w:hAnsi="David"/>
          <w:rtl/>
        </w:rPr>
        <w:t xml:space="preserve"> המוזכר בספרו של שוחט והמצוטט לעיל, מוטל על </w:t>
      </w:r>
      <w:r w:rsidR="000F5BF7">
        <w:rPr>
          <w:rFonts w:ascii="David" w:hAnsi="David"/>
          <w:rtl/>
        </w:rPr>
        <w:t>ו'</w:t>
      </w:r>
      <w:r>
        <w:rPr>
          <w:rFonts w:ascii="David" w:hAnsi="David"/>
          <w:rtl/>
        </w:rPr>
        <w:t xml:space="preserve">.  </w:t>
      </w:r>
    </w:p>
    <w:p w:rsidR="00457B60" w:rsidRDefault="00457B60" w:rsidP="00457B60">
      <w:pPr>
        <w:spacing w:after="120" w:line="360" w:lineRule="auto"/>
        <w:ind w:left="1440" w:hanging="720"/>
        <w:jc w:val="both"/>
        <w:rPr>
          <w:rFonts w:ascii="David" w:hAnsi="David"/>
          <w:rtl/>
        </w:rPr>
      </w:pPr>
      <w:r>
        <w:rPr>
          <w:rFonts w:ascii="David" w:hAnsi="David"/>
          <w:rtl/>
        </w:rPr>
        <w:tab/>
        <w:t xml:space="preserve">נזכיר כי </w:t>
      </w:r>
      <w:r w:rsidR="000F5BF7">
        <w:rPr>
          <w:rFonts w:ascii="David" w:hAnsi="David"/>
          <w:rtl/>
        </w:rPr>
        <w:t>ר'</w:t>
      </w:r>
      <w:r>
        <w:rPr>
          <w:rFonts w:ascii="David" w:hAnsi="David"/>
          <w:rtl/>
        </w:rPr>
        <w:t xml:space="preserve">, עורך שלוש הצוואות, לא ידע בסופו של יום להבהיר את פשר השינוי שחל אצל המנוח בצוואה השלישית (שבמחלוקת) לעומת שתי הצוואות הראשונות, בה נישל את שני בניו </w:t>
      </w:r>
      <w:r w:rsidR="000F5BF7">
        <w:rPr>
          <w:rFonts w:ascii="David" w:hAnsi="David"/>
          <w:rtl/>
        </w:rPr>
        <w:t>מ'</w:t>
      </w:r>
      <w:r>
        <w:rPr>
          <w:rFonts w:ascii="David" w:hAnsi="David"/>
          <w:rtl/>
        </w:rPr>
        <w:t xml:space="preserve"> ו</w:t>
      </w:r>
      <w:r w:rsidR="000F5BF7">
        <w:rPr>
          <w:rFonts w:ascii="David" w:hAnsi="David"/>
          <w:rtl/>
        </w:rPr>
        <w:t>ס'</w:t>
      </w:r>
      <w:r>
        <w:rPr>
          <w:rFonts w:ascii="David" w:hAnsi="David"/>
          <w:rtl/>
        </w:rPr>
        <w:t xml:space="preserve">, הגם ששלושתם נערכו בפער זמנים קצר ביותר (עדותו של </w:t>
      </w:r>
      <w:r w:rsidR="000F5BF7">
        <w:rPr>
          <w:rFonts w:ascii="David" w:hAnsi="David"/>
          <w:rtl/>
        </w:rPr>
        <w:t>ר'</w:t>
      </w:r>
      <w:r>
        <w:rPr>
          <w:rFonts w:ascii="David" w:hAnsi="David"/>
          <w:rtl/>
        </w:rPr>
        <w:t xml:space="preserve"> עמ' 525 לפרו' שו' 21-26).  </w:t>
      </w:r>
    </w:p>
    <w:p w:rsidR="00457B60" w:rsidRDefault="00457B60" w:rsidP="00457B60">
      <w:pPr>
        <w:spacing w:after="120" w:line="360" w:lineRule="auto"/>
        <w:ind w:left="1440" w:hanging="720"/>
        <w:jc w:val="both"/>
        <w:rPr>
          <w:rFonts w:ascii="David" w:hAnsi="David"/>
          <w:u w:val="single"/>
          <w:rtl/>
        </w:rPr>
      </w:pPr>
      <w:r>
        <w:rPr>
          <w:rFonts w:ascii="David" w:hAnsi="David"/>
          <w:rtl/>
        </w:rPr>
        <w:t>ה.</w:t>
      </w:r>
      <w:r>
        <w:rPr>
          <w:rFonts w:ascii="David" w:hAnsi="David"/>
          <w:rtl/>
        </w:rPr>
        <w:tab/>
      </w:r>
      <w:r>
        <w:rPr>
          <w:rFonts w:ascii="David" w:hAnsi="David"/>
          <w:b/>
          <w:bCs/>
          <w:rtl/>
        </w:rPr>
        <w:t xml:space="preserve">משלא עשה כן בית משפט קמא הוא טעה, ומן הראוי לקבל את הערעור בנקודה זאת, ולהחזיר את ההליך לבית משפט קמא לבחון את הכרעתו בשנית בנקודה זאת, כשהפעם נטל השכנוע יוטל על </w:t>
      </w:r>
      <w:r w:rsidR="000F5BF7">
        <w:rPr>
          <w:rFonts w:ascii="David" w:hAnsi="David"/>
          <w:b/>
          <w:bCs/>
          <w:rtl/>
        </w:rPr>
        <w:t>ו'</w:t>
      </w:r>
      <w:r>
        <w:rPr>
          <w:rFonts w:ascii="David" w:hAnsi="David"/>
          <w:b/>
          <w:bCs/>
          <w:rtl/>
        </w:rPr>
        <w:t xml:space="preserve">.  </w:t>
      </w:r>
    </w:p>
    <w:p w:rsidR="00457B60" w:rsidRDefault="00457B60" w:rsidP="00457B60">
      <w:pPr>
        <w:spacing w:after="120" w:line="360" w:lineRule="auto"/>
        <w:jc w:val="both"/>
        <w:rPr>
          <w:rFonts w:ascii="David" w:hAnsi="David"/>
          <w:rtl/>
        </w:rPr>
      </w:pPr>
    </w:p>
    <w:p w:rsidR="00457B60" w:rsidRDefault="00457B60" w:rsidP="00457B60">
      <w:pPr>
        <w:spacing w:after="120" w:line="360" w:lineRule="auto"/>
        <w:jc w:val="both"/>
        <w:rPr>
          <w:rFonts w:ascii="David" w:hAnsi="David"/>
          <w:b/>
          <w:bCs/>
          <w:u w:val="single"/>
          <w:rtl/>
        </w:rPr>
      </w:pPr>
      <w:r>
        <w:rPr>
          <w:rFonts w:ascii="David" w:hAnsi="David"/>
          <w:b/>
          <w:bCs/>
          <w:u w:val="single"/>
          <w:rtl/>
        </w:rPr>
        <w:t>סוף דבר</w:t>
      </w:r>
    </w:p>
    <w:p w:rsidR="00457B60" w:rsidRDefault="00457B60" w:rsidP="00457B60">
      <w:pPr>
        <w:spacing w:after="120" w:line="360" w:lineRule="auto"/>
        <w:jc w:val="both"/>
        <w:rPr>
          <w:rFonts w:ascii="David" w:hAnsi="David"/>
          <w:rtl/>
        </w:rPr>
      </w:pPr>
      <w:r>
        <w:rPr>
          <w:rFonts w:ascii="David" w:hAnsi="David"/>
          <w:rtl/>
        </w:rPr>
        <w:t>64.</w:t>
      </w:r>
      <w:r>
        <w:rPr>
          <w:rFonts w:ascii="David" w:hAnsi="David"/>
          <w:rtl/>
        </w:rPr>
        <w:tab/>
      </w:r>
      <w:r>
        <w:rPr>
          <w:rFonts w:ascii="David" w:hAnsi="David"/>
          <w:u w:val="single"/>
          <w:rtl/>
        </w:rPr>
        <w:t>לאור כל האמור לעיל, אמליץ לחבריי כדלקמן</w:t>
      </w:r>
      <w:r>
        <w:rPr>
          <w:rFonts w:ascii="David" w:hAnsi="David"/>
          <w:rtl/>
        </w:rPr>
        <w:t>:</w:t>
      </w:r>
    </w:p>
    <w:p w:rsidR="00457B60" w:rsidRDefault="00457B60" w:rsidP="00457B60">
      <w:pPr>
        <w:spacing w:after="120" w:line="360" w:lineRule="auto"/>
        <w:ind w:left="1440" w:hanging="720"/>
        <w:jc w:val="both"/>
        <w:rPr>
          <w:rFonts w:ascii="David" w:hAnsi="David"/>
          <w:rtl/>
        </w:rPr>
      </w:pPr>
      <w:r>
        <w:rPr>
          <w:rFonts w:ascii="David" w:hAnsi="David"/>
          <w:rtl/>
        </w:rPr>
        <w:t>א.</w:t>
      </w:r>
      <w:r>
        <w:rPr>
          <w:rFonts w:ascii="David" w:hAnsi="David"/>
          <w:rtl/>
        </w:rPr>
        <w:tab/>
        <w:t xml:space="preserve">לקבל הערעורים בחלקם, באופן שייקבע כי קביעות בית המשפט בפסק הדין בפרקים הבאים (כפי שמופיעים בפסק הדין) יבוטלו, ועניינם יוכרע בשנית על ידי בית המשפט </w:t>
      </w:r>
      <w:r>
        <w:rPr>
          <w:rFonts w:ascii="David" w:hAnsi="David"/>
          <w:u w:val="single"/>
          <w:rtl/>
        </w:rPr>
        <w:t xml:space="preserve">כשהפעם נקודת המוצא היא שנטל השכנוע מוטל על </w:t>
      </w:r>
      <w:r w:rsidR="000F5BF7">
        <w:rPr>
          <w:rFonts w:ascii="David" w:hAnsi="David"/>
          <w:u w:val="single"/>
          <w:rtl/>
        </w:rPr>
        <w:t>ו'</w:t>
      </w:r>
      <w:r>
        <w:rPr>
          <w:rFonts w:ascii="David" w:hAnsi="David"/>
          <w:rtl/>
        </w:rPr>
        <w:t>:</w:t>
      </w:r>
    </w:p>
    <w:p w:rsidR="00457B60" w:rsidRDefault="00457B60" w:rsidP="00457B60">
      <w:pPr>
        <w:spacing w:after="120" w:line="360" w:lineRule="auto"/>
        <w:ind w:left="1440" w:hanging="720"/>
        <w:jc w:val="both"/>
        <w:rPr>
          <w:rFonts w:ascii="David" w:hAnsi="David"/>
          <w:b/>
          <w:bCs/>
          <w:rtl/>
        </w:rPr>
      </w:pPr>
      <w:r>
        <w:rPr>
          <w:rFonts w:ascii="David" w:hAnsi="David"/>
          <w:rtl/>
        </w:rPr>
        <w:tab/>
      </w:r>
      <w:r>
        <w:rPr>
          <w:rFonts w:ascii="David" w:hAnsi="David"/>
          <w:b/>
          <w:bCs/>
          <w:rtl/>
        </w:rPr>
        <w:t>פסלות הצוואה מחמת פגמים צורניים;</w:t>
      </w:r>
    </w:p>
    <w:p w:rsidR="00457B60" w:rsidRDefault="00457B60" w:rsidP="00457B60">
      <w:pPr>
        <w:spacing w:after="120" w:line="360" w:lineRule="auto"/>
        <w:ind w:left="1440" w:hanging="720"/>
        <w:jc w:val="both"/>
        <w:rPr>
          <w:rFonts w:ascii="David" w:hAnsi="David"/>
          <w:b/>
          <w:bCs/>
          <w:rtl/>
        </w:rPr>
      </w:pPr>
      <w:r>
        <w:rPr>
          <w:rFonts w:ascii="David" w:hAnsi="David"/>
          <w:b/>
          <w:bCs/>
          <w:rtl/>
        </w:rPr>
        <w:tab/>
        <w:t>כשרות המצווה (המנוח) לצוות;</w:t>
      </w:r>
    </w:p>
    <w:p w:rsidR="007E729B" w:rsidRDefault="00457B60" w:rsidP="007E729B">
      <w:pPr>
        <w:spacing w:after="120" w:line="360" w:lineRule="auto"/>
        <w:ind w:left="1440" w:hanging="720"/>
        <w:jc w:val="both"/>
        <w:rPr>
          <w:rFonts w:ascii="David" w:hAnsi="David"/>
          <w:b/>
          <w:bCs/>
          <w:rtl/>
        </w:rPr>
      </w:pPr>
      <w:r>
        <w:rPr>
          <w:rFonts w:ascii="David" w:hAnsi="David"/>
          <w:b/>
          <w:bCs/>
          <w:rtl/>
        </w:rPr>
        <w:tab/>
        <w:t>מעורבות – נטילת (</w:t>
      </w:r>
      <w:r w:rsidR="000F5BF7">
        <w:rPr>
          <w:rFonts w:ascii="David" w:hAnsi="David"/>
          <w:b/>
          <w:bCs/>
          <w:rtl/>
        </w:rPr>
        <w:t>ו'</w:t>
      </w:r>
      <w:r>
        <w:rPr>
          <w:rFonts w:ascii="David" w:hAnsi="David"/>
          <w:b/>
          <w:bCs/>
          <w:rtl/>
        </w:rPr>
        <w:t>) חלק בעריכת הצוואה.</w:t>
      </w:r>
    </w:p>
    <w:p w:rsidR="007E729B" w:rsidRDefault="007E729B" w:rsidP="007E729B">
      <w:pPr>
        <w:spacing w:after="120" w:line="360" w:lineRule="auto"/>
        <w:ind w:left="1440" w:hanging="720"/>
        <w:jc w:val="both"/>
        <w:rPr>
          <w:rFonts w:ascii="David" w:hAnsi="David"/>
          <w:b/>
          <w:bCs/>
          <w:rtl/>
        </w:rPr>
      </w:pPr>
      <w:r>
        <w:rPr>
          <w:rFonts w:ascii="David" w:hAnsi="David"/>
          <w:b/>
          <w:bCs/>
          <w:rtl/>
        </w:rPr>
        <w:tab/>
      </w:r>
      <w:r>
        <w:rPr>
          <w:rFonts w:ascii="David" w:hAnsi="David" w:hint="cs"/>
          <w:b/>
          <w:bCs/>
          <w:rtl/>
        </w:rPr>
        <w:t>השפעה בלתי הוגנת.</w:t>
      </w:r>
    </w:p>
    <w:p w:rsidR="00457B60" w:rsidRDefault="00457B60" w:rsidP="007E729B">
      <w:pPr>
        <w:spacing w:after="120" w:line="360" w:lineRule="auto"/>
        <w:ind w:left="1440" w:hanging="720"/>
        <w:jc w:val="both"/>
        <w:rPr>
          <w:rFonts w:ascii="David" w:hAnsi="David"/>
          <w:rtl/>
        </w:rPr>
      </w:pPr>
      <w:r>
        <w:rPr>
          <w:rFonts w:ascii="David" w:hAnsi="David"/>
          <w:rtl/>
        </w:rPr>
        <w:t>ב.</w:t>
      </w:r>
      <w:r>
        <w:rPr>
          <w:rFonts w:ascii="David" w:hAnsi="David"/>
          <w:rtl/>
        </w:rPr>
        <w:tab/>
        <w:t xml:space="preserve">הראיות החדשות יוגשו לבית משפט קמא, שיחליט, לאחר קבלת עמדות הצדדים, אם להעיד את </w:t>
      </w:r>
      <w:r w:rsidR="000F5BF7">
        <w:rPr>
          <w:rFonts w:ascii="David" w:hAnsi="David"/>
          <w:rtl/>
        </w:rPr>
        <w:t>ר'</w:t>
      </w:r>
      <w:r>
        <w:rPr>
          <w:rFonts w:ascii="David" w:hAnsi="David"/>
          <w:rtl/>
        </w:rPr>
        <w:t xml:space="preserve"> בשנית לגביהן, יעריך מהימנותו בשנית ויקבע ממצאיו בנושאים דלעיל (המפורטים בס"ק (א)) גם לנוכח ממצאיו בראיות הנוספות. </w:t>
      </w:r>
    </w:p>
    <w:p w:rsidR="00457B60" w:rsidRDefault="00C14E19" w:rsidP="00457B60">
      <w:pPr>
        <w:spacing w:after="120" w:line="360" w:lineRule="auto"/>
        <w:ind w:left="1440" w:hanging="720"/>
        <w:jc w:val="both"/>
        <w:rPr>
          <w:rFonts w:ascii="David" w:hAnsi="David"/>
          <w:rtl/>
        </w:rPr>
      </w:pPr>
      <w:r>
        <w:rPr>
          <w:rFonts w:ascii="David" w:hAnsi="David"/>
          <w:rtl/>
        </w:rPr>
        <w:t>ג.</w:t>
      </w:r>
      <w:r>
        <w:rPr>
          <w:rFonts w:ascii="David" w:hAnsi="David"/>
          <w:rtl/>
        </w:rPr>
        <w:tab/>
        <w:t>לחייב את ה</w:t>
      </w:r>
      <w:r w:rsidR="00457B60">
        <w:rPr>
          <w:rFonts w:ascii="David" w:hAnsi="David"/>
          <w:rtl/>
        </w:rPr>
        <w:t xml:space="preserve">משיב </w:t>
      </w:r>
      <w:r w:rsidR="000F5BF7">
        <w:rPr>
          <w:rFonts w:ascii="David" w:hAnsi="David"/>
          <w:rtl/>
        </w:rPr>
        <w:t>ו'</w:t>
      </w:r>
      <w:r w:rsidR="00457B60">
        <w:rPr>
          <w:rFonts w:ascii="David" w:hAnsi="David"/>
          <w:rtl/>
        </w:rPr>
        <w:t xml:space="preserve"> בשני הערעורים בהוצאות המערערים בערעורם בסכום של 8000 ₪ לכל צד מערער (סך הכל 16,000 ₪), שישולמו תוך 30 ימים מיום מתן פסק דין זה, שאם לא כן יישא הסכום הפרשי הצמדה וריבית כדין עד ליום התשלום המלא בפועל. </w:t>
      </w:r>
    </w:p>
    <w:p w:rsidR="00457B60" w:rsidRDefault="00457B60" w:rsidP="00457B60">
      <w:pPr>
        <w:spacing w:after="120" w:line="360" w:lineRule="auto"/>
        <w:ind w:left="1440" w:hanging="720"/>
        <w:jc w:val="both"/>
        <w:rPr>
          <w:rFonts w:ascii="David" w:hAnsi="David"/>
          <w:rtl/>
        </w:rPr>
      </w:pPr>
      <w:r>
        <w:rPr>
          <w:rFonts w:ascii="David" w:hAnsi="David"/>
          <w:rtl/>
        </w:rPr>
        <w:t>ד.</w:t>
      </w:r>
      <w:r>
        <w:rPr>
          <w:rFonts w:ascii="David" w:hAnsi="David"/>
          <w:rtl/>
        </w:rPr>
        <w:tab/>
        <w:t xml:space="preserve">ערבון שהפקיד כל אחד מהמערערים בערעורו, יוחזר לידיו באמצעות בא כוחו.  </w:t>
      </w:r>
    </w:p>
    <w:p w:rsidR="00C14E19" w:rsidRDefault="00C14E19" w:rsidP="00457B60">
      <w:pPr>
        <w:spacing w:after="120" w:line="360" w:lineRule="auto"/>
        <w:ind w:left="1440" w:hanging="720"/>
        <w:jc w:val="both"/>
        <w:rPr>
          <w:rFonts w:ascii="David" w:hAnsi="David"/>
          <w:rtl/>
        </w:rPr>
      </w:pPr>
    </w:p>
    <w:p w:rsidR="00C14E19" w:rsidRDefault="00C14E19" w:rsidP="00457B60">
      <w:pPr>
        <w:spacing w:after="120" w:line="360" w:lineRule="auto"/>
        <w:ind w:left="1440" w:hanging="720"/>
        <w:jc w:val="both"/>
        <w:rPr>
          <w:rFonts w:ascii="David" w:hAnsi="David"/>
          <w:rtl/>
        </w:rPr>
      </w:pPr>
    </w:p>
    <w:p w:rsidR="00457B60" w:rsidRDefault="00457B60" w:rsidP="00457B60">
      <w:pPr>
        <w:spacing w:after="120" w:line="360" w:lineRule="auto"/>
        <w:jc w:val="both"/>
        <w:rPr>
          <w:rFonts w:ascii="David" w:hAnsi="David"/>
          <w:rtl/>
        </w:rPr>
      </w:pPr>
    </w:p>
    <w:p w:rsidR="00457B60" w:rsidRDefault="00457B60" w:rsidP="00457B60">
      <w:pPr>
        <w:spacing w:after="120" w:line="360" w:lineRule="auto"/>
        <w:jc w:val="both"/>
        <w:rPr>
          <w:rFonts w:ascii="David" w:hAnsi="David"/>
          <w:b/>
          <w:bCs/>
          <w:rtl/>
        </w:rPr>
      </w:pPr>
      <w:r>
        <w:rPr>
          <w:rFonts w:ascii="David" w:hAnsi="David"/>
          <w:b/>
          <w:bCs/>
          <w:u w:val="single"/>
          <w:rtl/>
        </w:rPr>
        <w:lastRenderedPageBreak/>
        <w:t>השופטת אספרנצה אלון</w:t>
      </w:r>
      <w:r>
        <w:rPr>
          <w:rFonts w:ascii="David" w:hAnsi="David"/>
          <w:b/>
          <w:bCs/>
          <w:rtl/>
        </w:rPr>
        <w:t>:</w:t>
      </w:r>
    </w:p>
    <w:p w:rsidR="00457B60" w:rsidRDefault="00457B60" w:rsidP="00457B60">
      <w:pPr>
        <w:pStyle w:val="af2"/>
        <w:numPr>
          <w:ilvl w:val="0"/>
          <w:numId w:val="4"/>
        </w:numPr>
        <w:spacing w:after="120" w:line="360" w:lineRule="auto"/>
        <w:ind w:left="566" w:hanging="567"/>
        <w:contextualSpacing w:val="0"/>
        <w:jc w:val="both"/>
        <w:rPr>
          <w:rFonts w:ascii="David" w:hAnsi="David" w:cs="David"/>
          <w:sz w:val="24"/>
          <w:szCs w:val="24"/>
          <w:rtl/>
        </w:rPr>
      </w:pPr>
      <w:r>
        <w:rPr>
          <w:rFonts w:ascii="David" w:hAnsi="David" w:cs="David"/>
          <w:sz w:val="24"/>
          <w:szCs w:val="24"/>
          <w:rtl/>
        </w:rPr>
        <w:t xml:space="preserve">קראתי את פסק דינו המקיף של חברי </w:t>
      </w:r>
      <w:proofErr w:type="spellStart"/>
      <w:r>
        <w:rPr>
          <w:rFonts w:ascii="David" w:hAnsi="David" w:cs="David"/>
          <w:sz w:val="24"/>
          <w:szCs w:val="24"/>
          <w:rtl/>
        </w:rPr>
        <w:t>האב"ד</w:t>
      </w:r>
      <w:proofErr w:type="spellEnd"/>
      <w:r>
        <w:rPr>
          <w:rFonts w:ascii="David" w:hAnsi="David" w:cs="David"/>
          <w:sz w:val="24"/>
          <w:szCs w:val="24"/>
          <w:rtl/>
        </w:rPr>
        <w:t xml:space="preserve"> כב' השופט ח. שרעבי ואני מסכימה עם מסק</w:t>
      </w:r>
      <w:r w:rsidR="00C14E19">
        <w:rPr>
          <w:rFonts w:ascii="David" w:hAnsi="David" w:cs="David"/>
          <w:sz w:val="24"/>
          <w:szCs w:val="24"/>
          <w:rtl/>
        </w:rPr>
        <w:t xml:space="preserve">נתו כי נטל ההוכחה מוטל על כתפי </w:t>
      </w:r>
      <w:r w:rsidR="000F5BF7">
        <w:rPr>
          <w:rFonts w:ascii="David" w:hAnsi="David" w:cs="David"/>
          <w:sz w:val="24"/>
          <w:szCs w:val="24"/>
          <w:rtl/>
        </w:rPr>
        <w:t>ו'</w:t>
      </w:r>
      <w:r>
        <w:rPr>
          <w:rFonts w:ascii="David" w:hAnsi="David" w:cs="David"/>
          <w:sz w:val="24"/>
          <w:szCs w:val="24"/>
          <w:rtl/>
        </w:rPr>
        <w:t xml:space="preserve">, אך שונה דעתי היא באשר לצירוף הראיות. </w:t>
      </w:r>
    </w:p>
    <w:p w:rsidR="00457B60" w:rsidRDefault="00457B60" w:rsidP="00457B60">
      <w:pPr>
        <w:pStyle w:val="af2"/>
        <w:numPr>
          <w:ilvl w:val="0"/>
          <w:numId w:val="4"/>
        </w:numPr>
        <w:spacing w:after="120" w:line="360" w:lineRule="auto"/>
        <w:ind w:left="566" w:hanging="567"/>
        <w:contextualSpacing w:val="0"/>
        <w:jc w:val="both"/>
        <w:rPr>
          <w:rFonts w:ascii="David" w:hAnsi="David" w:cs="David"/>
          <w:b/>
          <w:bCs/>
          <w:color w:val="000000"/>
          <w:sz w:val="24"/>
          <w:szCs w:val="24"/>
        </w:rPr>
      </w:pPr>
      <w:r>
        <w:rPr>
          <w:rFonts w:ascii="David" w:hAnsi="David" w:cs="David"/>
          <w:sz w:val="24"/>
          <w:szCs w:val="24"/>
          <w:rtl/>
        </w:rPr>
        <w:t>המנוח חתם בחייו על 3 צוואות, כולן בפני עדים וכולן נערכו בתאריכים צמודים זה לזה בשנת 1981 - מאי 1981, יולי 1981, אוגוסט 1981- היא האחרונה מבחינת זמנים, מושא פסק הדין קמא</w:t>
      </w:r>
      <w:r w:rsidR="00C14E19">
        <w:rPr>
          <w:rFonts w:ascii="David" w:hAnsi="David" w:cs="David"/>
          <w:sz w:val="24"/>
          <w:szCs w:val="24"/>
          <w:rtl/>
        </w:rPr>
        <w:t xml:space="preserve"> בה ציווה את כל עזבונו בלעדית ל</w:t>
      </w:r>
      <w:r w:rsidR="00C14E19">
        <w:rPr>
          <w:rFonts w:ascii="David" w:hAnsi="David" w:cs="David" w:hint="cs"/>
          <w:sz w:val="24"/>
          <w:szCs w:val="24"/>
          <w:rtl/>
        </w:rPr>
        <w:t>-</w:t>
      </w:r>
      <w:r w:rsidR="000F5BF7">
        <w:rPr>
          <w:rFonts w:ascii="David" w:hAnsi="David" w:cs="David"/>
          <w:sz w:val="24"/>
          <w:szCs w:val="24"/>
          <w:rtl/>
        </w:rPr>
        <w:t>ו'</w:t>
      </w:r>
      <w:r>
        <w:rPr>
          <w:rFonts w:ascii="David" w:hAnsi="David" w:cs="David"/>
          <w:sz w:val="24"/>
          <w:szCs w:val="24"/>
          <w:rtl/>
        </w:rPr>
        <w:t xml:space="preserve"> (להלן: "</w:t>
      </w:r>
      <w:r>
        <w:rPr>
          <w:rFonts w:ascii="David" w:hAnsi="David" w:cs="David"/>
          <w:b/>
          <w:bCs/>
          <w:sz w:val="24"/>
          <w:szCs w:val="24"/>
          <w:rtl/>
        </w:rPr>
        <w:t>צוואת אוגוסט 81</w:t>
      </w:r>
      <w:r>
        <w:rPr>
          <w:rFonts w:ascii="David" w:hAnsi="David" w:cs="David"/>
          <w:sz w:val="24"/>
          <w:szCs w:val="24"/>
          <w:rtl/>
        </w:rPr>
        <w:t xml:space="preserve">"). </w:t>
      </w:r>
      <w:r>
        <w:rPr>
          <w:rFonts w:ascii="David" w:hAnsi="David" w:cs="David"/>
          <w:color w:val="000000"/>
          <w:sz w:val="24"/>
          <w:szCs w:val="24"/>
          <w:rtl/>
        </w:rPr>
        <w:t xml:space="preserve">כ-12 שנים לאחר פטירת המנוח חתמו בניו </w:t>
      </w:r>
      <w:r>
        <w:rPr>
          <w:rFonts w:ascii="David" w:hAnsi="David" w:cs="David"/>
          <w:sz w:val="24"/>
          <w:szCs w:val="24"/>
          <w:rtl/>
        </w:rPr>
        <w:t>על הסכם חלוקת העיזבון שלא בהתאם לצוואות, הגישו בקשה לבית הדין הכנסייתי למתן צו ירושה תוך שהם מציינים כי המנוח לא הותיר אחריו צוו</w:t>
      </w:r>
      <w:r w:rsidR="00C14E19">
        <w:rPr>
          <w:rFonts w:ascii="David" w:hAnsi="David" w:cs="David"/>
          <w:sz w:val="24"/>
          <w:szCs w:val="24"/>
          <w:rtl/>
        </w:rPr>
        <w:t xml:space="preserve">אה. לאחר שפרץ סכסוך ביניהם עתר </w:t>
      </w:r>
      <w:r w:rsidR="000F5BF7">
        <w:rPr>
          <w:rFonts w:ascii="David" w:hAnsi="David" w:cs="David"/>
          <w:sz w:val="24"/>
          <w:szCs w:val="24"/>
          <w:rtl/>
        </w:rPr>
        <w:t>ו'</w:t>
      </w:r>
      <w:r>
        <w:rPr>
          <w:rFonts w:ascii="David" w:hAnsi="David" w:cs="David"/>
          <w:sz w:val="24"/>
          <w:szCs w:val="24"/>
          <w:rtl/>
        </w:rPr>
        <w:t xml:space="preserve"> לביטול צו הירושה ולקיום צוואת אוגוסט 81. צו הירושה בוטל על ידי בית הדין הכנסייתי ונקבע כי האחים נהגו בחוסר תום לב עת הסתירו את צוואות המנוח. האחים המנושלים, הם </w:t>
      </w:r>
      <w:r w:rsidR="000F5BF7">
        <w:rPr>
          <w:rFonts w:ascii="David" w:hAnsi="David" w:cs="David"/>
          <w:sz w:val="24"/>
          <w:szCs w:val="24"/>
          <w:rtl/>
        </w:rPr>
        <w:t>ס'</w:t>
      </w:r>
      <w:r>
        <w:rPr>
          <w:rFonts w:ascii="David" w:hAnsi="David" w:cs="David"/>
          <w:sz w:val="24"/>
          <w:szCs w:val="24"/>
          <w:rtl/>
        </w:rPr>
        <w:t xml:space="preserve"> </w:t>
      </w:r>
      <w:proofErr w:type="spellStart"/>
      <w:r>
        <w:rPr>
          <w:rFonts w:ascii="David" w:hAnsi="David" w:cs="David"/>
          <w:sz w:val="24"/>
          <w:szCs w:val="24"/>
          <w:rtl/>
        </w:rPr>
        <w:t>ו</w:t>
      </w:r>
      <w:r w:rsidR="000F5BF7">
        <w:rPr>
          <w:rFonts w:ascii="David" w:hAnsi="David" w:cs="David"/>
          <w:sz w:val="24"/>
          <w:szCs w:val="24"/>
          <w:rtl/>
        </w:rPr>
        <w:t>מ</w:t>
      </w:r>
      <w:proofErr w:type="spellEnd"/>
      <w:r w:rsidR="000F5BF7">
        <w:rPr>
          <w:rFonts w:ascii="David" w:hAnsi="David" w:cs="David"/>
          <w:sz w:val="24"/>
          <w:szCs w:val="24"/>
          <w:rtl/>
        </w:rPr>
        <w:t>'</w:t>
      </w:r>
      <w:r>
        <w:rPr>
          <w:rFonts w:ascii="David" w:hAnsi="David" w:cs="David"/>
          <w:sz w:val="24"/>
          <w:szCs w:val="24"/>
          <w:rtl/>
        </w:rPr>
        <w:t xml:space="preserve">, טענו כי צוואת אוגוסט 81 סובלת מפגמים מהותיים, או לכל הפחות צורניים. </w:t>
      </w:r>
    </w:p>
    <w:p w:rsidR="00457B60" w:rsidRDefault="00457B60" w:rsidP="00457B60">
      <w:pPr>
        <w:pStyle w:val="af2"/>
        <w:numPr>
          <w:ilvl w:val="0"/>
          <w:numId w:val="4"/>
        </w:numPr>
        <w:spacing w:after="120" w:line="360" w:lineRule="auto"/>
        <w:ind w:left="566" w:hanging="567"/>
        <w:contextualSpacing w:val="0"/>
        <w:jc w:val="both"/>
        <w:rPr>
          <w:rFonts w:ascii="David" w:hAnsi="David" w:cs="David"/>
          <w:b/>
          <w:bCs/>
          <w:color w:val="000000"/>
          <w:sz w:val="24"/>
          <w:szCs w:val="24"/>
          <w:rtl/>
        </w:rPr>
      </w:pPr>
      <w:r>
        <w:rPr>
          <w:rFonts w:ascii="David" w:hAnsi="David" w:cs="David"/>
          <w:sz w:val="24"/>
          <w:szCs w:val="24"/>
          <w:rtl/>
        </w:rPr>
        <w:t>בית משפט קמא קבע כי ניתן לרפא הפגמים הצורניים וכך קבע בסעיף 112 ו- 113 לפסק דינו:</w:t>
      </w:r>
    </w:p>
    <w:p w:rsidR="00457B60" w:rsidRDefault="00457B60" w:rsidP="00457B60">
      <w:pPr>
        <w:pStyle w:val="af2"/>
        <w:spacing w:after="120" w:line="360" w:lineRule="auto"/>
        <w:ind w:left="566" w:right="709" w:hanging="567"/>
        <w:contextualSpacing w:val="0"/>
        <w:jc w:val="both"/>
        <w:rPr>
          <w:rFonts w:ascii="David" w:hAnsi="David" w:cs="David"/>
          <w:b/>
          <w:bCs/>
          <w:sz w:val="24"/>
          <w:szCs w:val="24"/>
          <w:rtl/>
        </w:rPr>
      </w:pPr>
      <w:r>
        <w:rPr>
          <w:rFonts w:ascii="David" w:hAnsi="David" w:cs="David"/>
          <w:sz w:val="24"/>
          <w:szCs w:val="24"/>
          <w:rtl/>
        </w:rPr>
        <w:tab/>
        <w:t>"</w:t>
      </w:r>
      <w:r>
        <w:rPr>
          <w:rFonts w:ascii="David" w:hAnsi="David" w:cs="David"/>
          <w:b/>
          <w:bCs/>
          <w:sz w:val="24"/>
          <w:szCs w:val="24"/>
          <w:rtl/>
        </w:rPr>
        <w:t xml:space="preserve">112. </w:t>
      </w:r>
      <w:r>
        <w:rPr>
          <w:rFonts w:ascii="David" w:hAnsi="David" w:cs="David"/>
          <w:b/>
          <w:bCs/>
          <w:sz w:val="24"/>
          <w:szCs w:val="24"/>
          <w:u w:val="single"/>
          <w:rtl/>
        </w:rPr>
        <w:t>תאריך</w:t>
      </w:r>
      <w:r>
        <w:rPr>
          <w:rFonts w:ascii="David" w:hAnsi="David" w:cs="David"/>
          <w:b/>
          <w:bCs/>
          <w:sz w:val="24"/>
          <w:szCs w:val="24"/>
          <w:rtl/>
        </w:rPr>
        <w:t xml:space="preserve"> הצוואה – אין חולק כי צוואת אוגוסט 81 נושאת על גביה תאריך, ולכאורה בכך קוימו רכיבי היסוד בצוואה, בהינתן כי הצוואה הינה בכתב והובאה בפני שני עדים (סע 25(ב) לחוק). </w:t>
      </w:r>
    </w:p>
    <w:p w:rsidR="00457B60" w:rsidRDefault="00457B60" w:rsidP="00457B60">
      <w:pPr>
        <w:pStyle w:val="af2"/>
        <w:spacing w:after="120" w:line="360" w:lineRule="auto"/>
        <w:ind w:left="566" w:right="709" w:hanging="567"/>
        <w:contextualSpacing w:val="0"/>
        <w:jc w:val="both"/>
        <w:rPr>
          <w:rFonts w:ascii="David" w:hAnsi="David" w:cs="David"/>
          <w:b/>
          <w:bCs/>
          <w:sz w:val="24"/>
          <w:szCs w:val="24"/>
          <w:rtl/>
        </w:rPr>
      </w:pPr>
      <w:r>
        <w:rPr>
          <w:rFonts w:ascii="David" w:hAnsi="David" w:cs="David"/>
          <w:b/>
          <w:bCs/>
          <w:sz w:val="24"/>
          <w:szCs w:val="24"/>
          <w:rtl/>
        </w:rPr>
        <w:tab/>
        <w:t xml:space="preserve">כב' הרשם הבכיר (בדימוס) מר </w:t>
      </w:r>
      <w:r w:rsidR="000F5BF7">
        <w:rPr>
          <w:rFonts w:ascii="David" w:hAnsi="David" w:cs="David"/>
          <w:b/>
          <w:bCs/>
          <w:sz w:val="24"/>
          <w:szCs w:val="24"/>
          <w:rtl/>
        </w:rPr>
        <w:t>ר'</w:t>
      </w:r>
      <w:r>
        <w:rPr>
          <w:rFonts w:ascii="David" w:hAnsi="David" w:cs="David"/>
          <w:b/>
          <w:bCs/>
          <w:sz w:val="24"/>
          <w:szCs w:val="24"/>
          <w:rtl/>
        </w:rPr>
        <w:t xml:space="preserve"> העיד כי רשם על גבי הצוואה את תאריך עריכתה והיא נמסרה ל</w:t>
      </w:r>
      <w:r w:rsidR="000F5BF7">
        <w:rPr>
          <w:rFonts w:ascii="David" w:hAnsi="David" w:cs="David"/>
          <w:b/>
          <w:bCs/>
          <w:sz w:val="24"/>
          <w:szCs w:val="24"/>
          <w:rtl/>
        </w:rPr>
        <w:t>ו'</w:t>
      </w:r>
      <w:r>
        <w:rPr>
          <w:rFonts w:ascii="David" w:hAnsi="David" w:cs="David"/>
          <w:b/>
          <w:bCs/>
          <w:sz w:val="24"/>
          <w:szCs w:val="24"/>
          <w:rtl/>
        </w:rPr>
        <w:t xml:space="preserve">, אך לא ידע להעיד מתי נחתמה. בעדות זו בלבד, אין משום ראיה כי צוואת אוגוסט 81 לא נחתמה בו ביום. </w:t>
      </w:r>
    </w:p>
    <w:p w:rsidR="00457B60" w:rsidRDefault="00457B60" w:rsidP="00457B60">
      <w:pPr>
        <w:pStyle w:val="af2"/>
        <w:spacing w:after="120" w:line="360" w:lineRule="auto"/>
        <w:ind w:left="566" w:right="709" w:hanging="567"/>
        <w:contextualSpacing w:val="0"/>
        <w:jc w:val="both"/>
        <w:rPr>
          <w:rFonts w:ascii="David" w:hAnsi="David" w:cs="David"/>
          <w:b/>
          <w:bCs/>
          <w:sz w:val="24"/>
          <w:szCs w:val="24"/>
          <w:rtl/>
        </w:rPr>
      </w:pPr>
      <w:r>
        <w:rPr>
          <w:rFonts w:ascii="David" w:hAnsi="David" w:cs="David"/>
          <w:b/>
          <w:bCs/>
          <w:sz w:val="24"/>
          <w:szCs w:val="24"/>
          <w:rtl/>
        </w:rPr>
        <w:tab/>
        <w:t xml:space="preserve">כאמור, העד מתא הכחיש כי חתם כעד קיום על צוואת אוגוסט 81 ולמעשה לא הציג גרסה באשר לנסיבות חתימתה, ועד הקיום הנוסף הלך לעולמו. </w:t>
      </w:r>
    </w:p>
    <w:p w:rsidR="00457B60" w:rsidRDefault="00457B60" w:rsidP="00457B60">
      <w:pPr>
        <w:pStyle w:val="af2"/>
        <w:spacing w:after="120" w:line="360" w:lineRule="auto"/>
        <w:ind w:left="566" w:right="709" w:hanging="567"/>
        <w:contextualSpacing w:val="0"/>
        <w:jc w:val="both"/>
        <w:rPr>
          <w:rFonts w:ascii="David" w:hAnsi="David" w:cs="David"/>
          <w:b/>
          <w:bCs/>
          <w:sz w:val="24"/>
          <w:szCs w:val="24"/>
          <w:rtl/>
        </w:rPr>
      </w:pPr>
      <w:r>
        <w:rPr>
          <w:rFonts w:ascii="David" w:hAnsi="David" w:cs="David"/>
          <w:b/>
          <w:bCs/>
          <w:sz w:val="24"/>
          <w:szCs w:val="24"/>
          <w:rtl/>
        </w:rPr>
        <w:tab/>
        <w:t xml:space="preserve">ועוד - ע"פ הפסיקה הנוהגת בהתייחס לפגם בתאריך (לרבות חוסר בתאריך) הינו פגם הניתן לריפוי בהתאם </w:t>
      </w:r>
      <w:proofErr w:type="spellStart"/>
      <w:r>
        <w:rPr>
          <w:rFonts w:ascii="David" w:hAnsi="David" w:cs="David"/>
          <w:b/>
          <w:bCs/>
          <w:sz w:val="24"/>
          <w:szCs w:val="24"/>
          <w:rtl/>
        </w:rPr>
        <w:t>לסע</w:t>
      </w:r>
      <w:proofErr w:type="spellEnd"/>
      <w:r>
        <w:rPr>
          <w:rFonts w:ascii="David" w:hAnsi="David" w:cs="David"/>
          <w:b/>
          <w:bCs/>
          <w:sz w:val="24"/>
          <w:szCs w:val="24"/>
          <w:rtl/>
        </w:rPr>
        <w:t xml:space="preserve">' 25(א) לחוק הירושה [ראה ש. שוחט, מ. גולדברג, י. </w:t>
      </w:r>
      <w:proofErr w:type="spellStart"/>
      <w:r>
        <w:rPr>
          <w:rFonts w:ascii="David" w:hAnsi="David" w:cs="David"/>
          <w:b/>
          <w:bCs/>
          <w:sz w:val="24"/>
          <w:szCs w:val="24"/>
          <w:rtl/>
        </w:rPr>
        <w:t>פלומין</w:t>
      </w:r>
      <w:proofErr w:type="spellEnd"/>
      <w:r>
        <w:rPr>
          <w:rFonts w:ascii="David" w:hAnsi="David" w:cs="David"/>
          <w:b/>
          <w:bCs/>
          <w:sz w:val="24"/>
          <w:szCs w:val="24"/>
          <w:rtl/>
        </w:rPr>
        <w:t xml:space="preserve">, </w:t>
      </w:r>
      <w:r>
        <w:rPr>
          <w:rFonts w:ascii="David" w:hAnsi="David" w:cs="David"/>
          <w:b/>
          <w:bCs/>
          <w:sz w:val="24"/>
          <w:szCs w:val="24"/>
          <w:u w:val="single"/>
          <w:rtl/>
        </w:rPr>
        <w:t xml:space="preserve"> דיני ירושה ועזבון</w:t>
      </w:r>
      <w:r>
        <w:rPr>
          <w:rFonts w:ascii="David" w:hAnsi="David" w:cs="David"/>
          <w:b/>
          <w:bCs/>
          <w:sz w:val="24"/>
          <w:szCs w:val="24"/>
          <w:rtl/>
        </w:rPr>
        <w:t xml:space="preserve">, מהדורה שישית,  בעמ' 90], כך שגם אם היה מוכח - לא </w:t>
      </w:r>
      <w:proofErr w:type="spellStart"/>
      <w:r>
        <w:rPr>
          <w:rFonts w:ascii="David" w:hAnsi="David" w:cs="David"/>
          <w:b/>
          <w:bCs/>
          <w:sz w:val="24"/>
          <w:szCs w:val="24"/>
          <w:rtl/>
        </w:rPr>
        <w:t>היתה</w:t>
      </w:r>
      <w:proofErr w:type="spellEnd"/>
      <w:r>
        <w:rPr>
          <w:rFonts w:ascii="David" w:hAnsi="David" w:cs="David"/>
          <w:b/>
          <w:bCs/>
          <w:sz w:val="24"/>
          <w:szCs w:val="24"/>
          <w:rtl/>
        </w:rPr>
        <w:t xml:space="preserve"> מניעה לתקנו. </w:t>
      </w:r>
    </w:p>
    <w:p w:rsidR="00457B60" w:rsidRDefault="00457B60" w:rsidP="00457B60">
      <w:pPr>
        <w:pStyle w:val="af2"/>
        <w:spacing w:after="120" w:line="360" w:lineRule="auto"/>
        <w:ind w:left="566" w:right="709" w:hanging="567"/>
        <w:contextualSpacing w:val="0"/>
        <w:jc w:val="both"/>
        <w:rPr>
          <w:rFonts w:ascii="David" w:hAnsi="David" w:cs="David"/>
          <w:b/>
          <w:bCs/>
          <w:sz w:val="24"/>
          <w:szCs w:val="24"/>
          <w:rtl/>
        </w:rPr>
      </w:pPr>
      <w:r>
        <w:rPr>
          <w:rFonts w:ascii="David" w:hAnsi="David" w:cs="David"/>
          <w:b/>
          <w:bCs/>
          <w:sz w:val="24"/>
          <w:szCs w:val="24"/>
          <w:rtl/>
        </w:rPr>
        <w:tab/>
        <w:t xml:space="preserve">113. על כן, לא מצאתי כי הוכח, כלל ועיקר, קיומו של פגם, שיש בו כדי להפוך את נטל הראיה ולהעבירו לכתפי </w:t>
      </w:r>
      <w:r w:rsidR="000F5BF7">
        <w:rPr>
          <w:rFonts w:ascii="David" w:hAnsi="David" w:cs="David"/>
          <w:b/>
          <w:bCs/>
          <w:sz w:val="24"/>
          <w:szCs w:val="24"/>
          <w:rtl/>
        </w:rPr>
        <w:t>ו'</w:t>
      </w:r>
      <w:r>
        <w:rPr>
          <w:rFonts w:ascii="David" w:hAnsi="David" w:cs="David"/>
          <w:b/>
          <w:bCs/>
          <w:sz w:val="24"/>
          <w:szCs w:val="24"/>
          <w:rtl/>
        </w:rPr>
        <w:t xml:space="preserve">. </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b/>
          <w:bCs/>
          <w:sz w:val="24"/>
          <w:szCs w:val="24"/>
          <w:rtl/>
        </w:rPr>
        <w:tab/>
        <w:t xml:space="preserve">והנטל להוכיח כי מצבו הרפואי/ קוגניטיבי של המנוח לא אפשר עריכת הצוואה ו/או כי היה נתון להשפעה בלתי הוגנת ו/או כי </w:t>
      </w:r>
      <w:r w:rsidR="000F5BF7">
        <w:rPr>
          <w:rFonts w:ascii="David" w:hAnsi="David" w:cs="David"/>
          <w:b/>
          <w:bCs/>
          <w:sz w:val="24"/>
          <w:szCs w:val="24"/>
          <w:rtl/>
        </w:rPr>
        <w:t>ו'</w:t>
      </w:r>
      <w:r>
        <w:rPr>
          <w:rFonts w:ascii="David" w:hAnsi="David" w:cs="David"/>
          <w:b/>
          <w:bCs/>
          <w:sz w:val="24"/>
          <w:szCs w:val="24"/>
          <w:rtl/>
        </w:rPr>
        <w:t xml:space="preserve"> היה מעורב בעריכת הצוואה – מוטל על כתפי </w:t>
      </w:r>
      <w:r w:rsidR="000F5BF7">
        <w:rPr>
          <w:rFonts w:ascii="David" w:hAnsi="David" w:cs="David"/>
          <w:b/>
          <w:bCs/>
          <w:sz w:val="24"/>
          <w:szCs w:val="24"/>
          <w:rtl/>
        </w:rPr>
        <w:t>ס'</w:t>
      </w:r>
      <w:r>
        <w:rPr>
          <w:rFonts w:ascii="David" w:hAnsi="David" w:cs="David"/>
          <w:sz w:val="24"/>
          <w:szCs w:val="24"/>
          <w:rtl/>
        </w:rPr>
        <w:t>".</w:t>
      </w:r>
    </w:p>
    <w:p w:rsidR="00457B60" w:rsidRDefault="00457B60" w:rsidP="00457B60">
      <w:pPr>
        <w:pStyle w:val="af2"/>
        <w:numPr>
          <w:ilvl w:val="0"/>
          <w:numId w:val="4"/>
        </w:numPr>
        <w:spacing w:after="120" w:line="360" w:lineRule="auto"/>
        <w:ind w:left="566" w:hanging="567"/>
        <w:contextualSpacing w:val="0"/>
        <w:jc w:val="both"/>
        <w:rPr>
          <w:rFonts w:ascii="David" w:hAnsi="David" w:cs="David"/>
          <w:color w:val="000000"/>
          <w:sz w:val="24"/>
          <w:szCs w:val="24"/>
          <w:rtl/>
        </w:rPr>
      </w:pPr>
      <w:r>
        <w:rPr>
          <w:rFonts w:ascii="David" w:hAnsi="David" w:cs="David"/>
          <w:sz w:val="24"/>
          <w:szCs w:val="24"/>
          <w:rtl/>
        </w:rPr>
        <w:t xml:space="preserve">אכן פגמים צורניים בצוואה ניתנים לריפוי, כפי שקבע בית משפט קמא (בע"מ 11116/08 פלוני נ' אלמוני (נבו 5.7.2012)‏‏), יחד עם זאת, די בצבר הנסיבות בתיק המשפט דנן, ובפרט העובדה כי העד </w:t>
      </w:r>
      <w:r w:rsidR="000F5BF7">
        <w:rPr>
          <w:rFonts w:ascii="David" w:hAnsi="David" w:cs="David"/>
          <w:sz w:val="24"/>
          <w:szCs w:val="24"/>
          <w:rtl/>
        </w:rPr>
        <w:t>ר'</w:t>
      </w:r>
      <w:r>
        <w:rPr>
          <w:rFonts w:ascii="David" w:hAnsi="David" w:cs="David"/>
          <w:sz w:val="24"/>
          <w:szCs w:val="24"/>
          <w:rtl/>
        </w:rPr>
        <w:t xml:space="preserve"> </w:t>
      </w:r>
      <w:r>
        <w:rPr>
          <w:rFonts w:ascii="David" w:hAnsi="David" w:cs="David"/>
          <w:sz w:val="24"/>
          <w:szCs w:val="24"/>
          <w:u w:val="single"/>
          <w:rtl/>
        </w:rPr>
        <w:t>לא יכול היה להעיד</w:t>
      </w:r>
      <w:r>
        <w:rPr>
          <w:rFonts w:ascii="David" w:hAnsi="David" w:cs="David"/>
          <w:sz w:val="24"/>
          <w:szCs w:val="24"/>
          <w:rtl/>
        </w:rPr>
        <w:t xml:space="preserve"> על אשר אירע לאח</w:t>
      </w:r>
      <w:r w:rsidR="00C14E19">
        <w:rPr>
          <w:rFonts w:ascii="David" w:hAnsi="David" w:cs="David"/>
          <w:sz w:val="24"/>
          <w:szCs w:val="24"/>
          <w:rtl/>
        </w:rPr>
        <w:t xml:space="preserve">ר שמסר את צוואת אוגוסט 81 לידי </w:t>
      </w:r>
      <w:r w:rsidR="000F5BF7">
        <w:rPr>
          <w:rFonts w:ascii="David" w:hAnsi="David" w:cs="David"/>
          <w:sz w:val="24"/>
          <w:szCs w:val="24"/>
          <w:rtl/>
        </w:rPr>
        <w:t>ו'</w:t>
      </w:r>
      <w:r>
        <w:rPr>
          <w:rFonts w:ascii="David" w:hAnsi="David" w:cs="David"/>
          <w:sz w:val="24"/>
          <w:szCs w:val="24"/>
          <w:rtl/>
        </w:rPr>
        <w:t xml:space="preserve">, העד הנוסף </w:t>
      </w:r>
      <w:r>
        <w:rPr>
          <w:rFonts w:ascii="David" w:hAnsi="David" w:cs="David"/>
          <w:sz w:val="24"/>
          <w:szCs w:val="24"/>
          <w:u w:val="single"/>
          <w:rtl/>
        </w:rPr>
        <w:t>לא יכול להעיד</w:t>
      </w:r>
      <w:r>
        <w:rPr>
          <w:rFonts w:ascii="David" w:hAnsi="David" w:cs="David"/>
          <w:sz w:val="24"/>
          <w:szCs w:val="24"/>
          <w:rtl/>
        </w:rPr>
        <w:t xml:space="preserve"> על נסיבות האירועים בזמן החתימה על הצוואה נוכח מותו ("עד הקיום הנוסף הלך לעולמו") ובדגש</w:t>
      </w:r>
      <w:r>
        <w:rPr>
          <w:rFonts w:ascii="David" w:hAnsi="David" w:cs="David"/>
          <w:b/>
          <w:bCs/>
          <w:sz w:val="24"/>
          <w:szCs w:val="24"/>
          <w:rtl/>
        </w:rPr>
        <w:t xml:space="preserve"> הכחשתו של העד מתא שחתם </w:t>
      </w:r>
      <w:r>
        <w:rPr>
          <w:rFonts w:ascii="David" w:hAnsi="David" w:cs="David"/>
          <w:b/>
          <w:bCs/>
          <w:sz w:val="24"/>
          <w:szCs w:val="24"/>
          <w:rtl/>
        </w:rPr>
        <w:lastRenderedPageBreak/>
        <w:t>כעד קיום לצוואה המדוברת</w:t>
      </w:r>
      <w:r>
        <w:rPr>
          <w:rFonts w:ascii="David" w:hAnsi="David" w:cs="David"/>
          <w:sz w:val="24"/>
          <w:szCs w:val="24"/>
          <w:rtl/>
        </w:rPr>
        <w:t xml:space="preserve">, כדי להוכיח כי "נפל פגם בפרט מן הפרטים או בהליך מן ההליכים" המפורטים בסעיף 20 לחוק הירושה (סעיף 25 לחוק הירושה), או לכל הפחות כי </w:t>
      </w:r>
      <w:r>
        <w:rPr>
          <w:rFonts w:ascii="David" w:hAnsi="David" w:cs="David"/>
          <w:sz w:val="24"/>
          <w:szCs w:val="24"/>
          <w:u w:val="single"/>
          <w:rtl/>
        </w:rPr>
        <w:t>קיים ספק משמעותי ביחס אליהם</w:t>
      </w:r>
      <w:r>
        <w:rPr>
          <w:rFonts w:ascii="David" w:hAnsi="David" w:cs="David"/>
          <w:sz w:val="24"/>
          <w:szCs w:val="24"/>
          <w:rtl/>
        </w:rPr>
        <w:t>.</w:t>
      </w:r>
    </w:p>
    <w:p w:rsidR="00457B60" w:rsidRDefault="00457B60" w:rsidP="00457B60">
      <w:pPr>
        <w:pStyle w:val="af2"/>
        <w:numPr>
          <w:ilvl w:val="0"/>
          <w:numId w:val="4"/>
        </w:numPr>
        <w:spacing w:after="120" w:line="360" w:lineRule="auto"/>
        <w:ind w:left="566" w:hanging="567"/>
        <w:contextualSpacing w:val="0"/>
        <w:jc w:val="both"/>
        <w:rPr>
          <w:rFonts w:ascii="David" w:hAnsi="David" w:cs="David"/>
          <w:color w:val="000000"/>
          <w:sz w:val="24"/>
          <w:szCs w:val="24"/>
          <w:rtl/>
        </w:rPr>
      </w:pPr>
      <w:r>
        <w:rPr>
          <w:rFonts w:ascii="David" w:hAnsi="David" w:cs="David"/>
          <w:color w:val="000000"/>
          <w:sz w:val="24"/>
          <w:szCs w:val="24"/>
          <w:rtl/>
        </w:rPr>
        <w:t xml:space="preserve">מטרת סעיף 25 לחוק הירושה הינה התחקות אחר רצונו </w:t>
      </w:r>
      <w:proofErr w:type="spellStart"/>
      <w:r>
        <w:rPr>
          <w:rFonts w:ascii="David" w:hAnsi="David" w:cs="David"/>
          <w:color w:val="000000"/>
          <w:sz w:val="24"/>
          <w:szCs w:val="24"/>
          <w:rtl/>
        </w:rPr>
        <w:t>האמיתי</w:t>
      </w:r>
      <w:proofErr w:type="spellEnd"/>
      <w:r>
        <w:rPr>
          <w:rFonts w:ascii="David" w:hAnsi="David" w:cs="David"/>
          <w:color w:val="000000"/>
          <w:sz w:val="24"/>
          <w:szCs w:val="24"/>
          <w:rtl/>
        </w:rPr>
        <w:t xml:space="preserve"> של המצווה, תוך מתן אפשרות להתגבר על פגמים פורמליים (</w:t>
      </w:r>
      <w:r>
        <w:rPr>
          <w:rFonts w:ascii="David" w:hAnsi="David" w:cs="David"/>
          <w:sz w:val="24"/>
          <w:szCs w:val="24"/>
          <w:rtl/>
        </w:rPr>
        <w:t>עיינו לדוגמא ע"א 8991/04 </w:t>
      </w:r>
      <w:proofErr w:type="spellStart"/>
      <w:r>
        <w:rPr>
          <w:rFonts w:ascii="David" w:hAnsi="David" w:cs="David"/>
          <w:b/>
          <w:bCs/>
          <w:sz w:val="24"/>
          <w:szCs w:val="24"/>
          <w:rtl/>
        </w:rPr>
        <w:t>בורהאן</w:t>
      </w:r>
      <w:proofErr w:type="spellEnd"/>
      <w:r>
        <w:rPr>
          <w:rFonts w:ascii="David" w:hAnsi="David" w:cs="David"/>
          <w:b/>
          <w:bCs/>
          <w:sz w:val="24"/>
          <w:szCs w:val="24"/>
          <w:rtl/>
        </w:rPr>
        <w:t xml:space="preserve"> </w:t>
      </w:r>
      <w:proofErr w:type="spellStart"/>
      <w:r>
        <w:rPr>
          <w:rFonts w:ascii="David" w:hAnsi="David" w:cs="David"/>
          <w:b/>
          <w:bCs/>
          <w:sz w:val="24"/>
          <w:szCs w:val="24"/>
          <w:rtl/>
        </w:rPr>
        <w:t>סובחי</w:t>
      </w:r>
      <w:proofErr w:type="spellEnd"/>
      <w:r>
        <w:rPr>
          <w:rFonts w:ascii="David" w:hAnsi="David" w:cs="David"/>
          <w:b/>
          <w:bCs/>
          <w:sz w:val="24"/>
          <w:szCs w:val="24"/>
          <w:rtl/>
        </w:rPr>
        <w:t xml:space="preserve"> יעקוב </w:t>
      </w:r>
      <w:proofErr w:type="spellStart"/>
      <w:r>
        <w:rPr>
          <w:rFonts w:ascii="David" w:hAnsi="David" w:cs="David"/>
          <w:b/>
          <w:bCs/>
          <w:sz w:val="24"/>
          <w:szCs w:val="24"/>
          <w:rtl/>
        </w:rPr>
        <w:t>ברגות</w:t>
      </w:r>
      <w:proofErr w:type="spellEnd"/>
      <w:r>
        <w:rPr>
          <w:rFonts w:ascii="David" w:hAnsi="David" w:cs="David"/>
          <w:b/>
          <w:bCs/>
          <w:sz w:val="24"/>
          <w:szCs w:val="24"/>
          <w:rtl/>
        </w:rPr>
        <w:t xml:space="preserve"> נ' </w:t>
      </w:r>
      <w:proofErr w:type="spellStart"/>
      <w:r>
        <w:rPr>
          <w:rFonts w:ascii="David" w:hAnsi="David" w:cs="David"/>
          <w:b/>
          <w:bCs/>
          <w:sz w:val="24"/>
          <w:szCs w:val="24"/>
          <w:rtl/>
        </w:rPr>
        <w:t>זוהיר</w:t>
      </w:r>
      <w:proofErr w:type="spellEnd"/>
      <w:r>
        <w:rPr>
          <w:rFonts w:ascii="David" w:hAnsi="David" w:cs="David"/>
          <w:b/>
          <w:bCs/>
          <w:sz w:val="24"/>
          <w:szCs w:val="24"/>
          <w:rtl/>
        </w:rPr>
        <w:t xml:space="preserve"> </w:t>
      </w:r>
      <w:proofErr w:type="spellStart"/>
      <w:r>
        <w:rPr>
          <w:rFonts w:ascii="David" w:hAnsi="David" w:cs="David"/>
          <w:b/>
          <w:bCs/>
          <w:sz w:val="24"/>
          <w:szCs w:val="24"/>
          <w:rtl/>
        </w:rPr>
        <w:t>ברגות</w:t>
      </w:r>
      <w:proofErr w:type="spellEnd"/>
      <w:r>
        <w:rPr>
          <w:rFonts w:ascii="David" w:hAnsi="David" w:cs="David"/>
          <w:b/>
          <w:bCs/>
          <w:sz w:val="24"/>
          <w:szCs w:val="24"/>
          <w:rtl/>
        </w:rPr>
        <w:t xml:space="preserve"> נצרת</w:t>
      </w:r>
      <w:r>
        <w:rPr>
          <w:rFonts w:ascii="David" w:hAnsi="David" w:cs="David"/>
          <w:sz w:val="24"/>
          <w:szCs w:val="24"/>
          <w:rtl/>
        </w:rPr>
        <w:t> (נבו 4.10.2006)‏</w:t>
      </w:r>
      <w:r>
        <w:rPr>
          <w:rFonts w:ascii="David" w:hAnsi="David" w:cs="David"/>
          <w:color w:val="000000"/>
          <w:sz w:val="24"/>
          <w:szCs w:val="24"/>
          <w:rtl/>
        </w:rPr>
        <w:t xml:space="preserve">‏ והאסמכתאות המצוינות שם). יחד עם זאת, שימוש בסעיף 25 לחוק הירושה גורם </w:t>
      </w:r>
      <w:r>
        <w:rPr>
          <w:rFonts w:ascii="David" w:hAnsi="David" w:cs="David"/>
          <w:color w:val="000000"/>
          <w:sz w:val="24"/>
          <w:szCs w:val="24"/>
          <w:u w:val="single"/>
          <w:rtl/>
        </w:rPr>
        <w:t>להיפוך נטל הראייה</w:t>
      </w:r>
      <w:r>
        <w:rPr>
          <w:rFonts w:ascii="David" w:hAnsi="David" w:cs="David"/>
          <w:color w:val="000000"/>
          <w:sz w:val="24"/>
          <w:szCs w:val="24"/>
          <w:rtl/>
        </w:rPr>
        <w:t xml:space="preserve">, וזאת מן הטעמים הבאים: </w:t>
      </w:r>
      <w:r>
        <w:rPr>
          <w:rFonts w:ascii="David" w:hAnsi="David" w:cs="David"/>
          <w:b/>
          <w:bCs/>
          <w:color w:val="000000"/>
          <w:sz w:val="24"/>
          <w:szCs w:val="24"/>
          <w:rtl/>
        </w:rPr>
        <w:t xml:space="preserve">"[...] כאשר עסקינן בצוואה הנגועה בפגמים צורניים עובר נטל הראיה להסרת הספק בדבר אמתותה, לאמור כי היא משקפת את רצונו החופשי והאמתי של המצווה [...]. הטעם לדרישה זו הוא כי בניגוד לצוואה התקינה לכאורה מבחינה צורנית, העומדת בחזקת כשרותה והנטל </w:t>
      </w:r>
      <w:proofErr w:type="spellStart"/>
      <w:r>
        <w:rPr>
          <w:rFonts w:ascii="David" w:hAnsi="David" w:cs="David"/>
          <w:b/>
          <w:bCs/>
          <w:color w:val="000000"/>
          <w:sz w:val="24"/>
          <w:szCs w:val="24"/>
          <w:rtl/>
        </w:rPr>
        <w:t>לפוסלה</w:t>
      </w:r>
      <w:proofErr w:type="spellEnd"/>
      <w:r>
        <w:rPr>
          <w:rFonts w:ascii="David" w:hAnsi="David" w:cs="David"/>
          <w:b/>
          <w:bCs/>
          <w:color w:val="000000"/>
          <w:sz w:val="24"/>
          <w:szCs w:val="24"/>
          <w:rtl/>
        </w:rPr>
        <w:t xml:space="preserve"> מוטל על המתנגד לה, צוואה פגומה אינה זוכה לחזקה זו. קיומו של הפגם מעלה את החשד שהצוואה אינה משקפת את רצונו של המצווה ומכאן הטלת מלוא כובד הנטל על מבקש הקיום. כאשר נותר ספק בליבו של בית המשפט האם הצוואה משקפת את רצונו </w:t>
      </w:r>
      <w:proofErr w:type="spellStart"/>
      <w:r>
        <w:rPr>
          <w:rFonts w:ascii="David" w:hAnsi="David" w:cs="David"/>
          <w:b/>
          <w:bCs/>
          <w:color w:val="000000"/>
          <w:sz w:val="24"/>
          <w:szCs w:val="24"/>
          <w:rtl/>
        </w:rPr>
        <w:t>האמיתי</w:t>
      </w:r>
      <w:proofErr w:type="spellEnd"/>
      <w:r>
        <w:rPr>
          <w:rFonts w:ascii="David" w:hAnsi="David" w:cs="David"/>
          <w:b/>
          <w:bCs/>
          <w:color w:val="000000"/>
          <w:sz w:val="24"/>
          <w:szCs w:val="24"/>
          <w:rtl/>
        </w:rPr>
        <w:t xml:space="preserve"> והחופשי של המצווה ימנע הספק את קיומה של הצוואה [...]." </w:t>
      </w:r>
      <w:r>
        <w:rPr>
          <w:rFonts w:ascii="David" w:hAnsi="David" w:cs="David"/>
          <w:sz w:val="24"/>
          <w:szCs w:val="24"/>
          <w:rtl/>
        </w:rPr>
        <w:t xml:space="preserve">(עיינו </w:t>
      </w:r>
      <w:proofErr w:type="spellStart"/>
      <w:r>
        <w:rPr>
          <w:rFonts w:ascii="David" w:hAnsi="David" w:cs="David"/>
          <w:sz w:val="24"/>
          <w:szCs w:val="24"/>
          <w:rtl/>
        </w:rPr>
        <w:t>עמ"ש</w:t>
      </w:r>
      <w:proofErr w:type="spellEnd"/>
      <w:r>
        <w:rPr>
          <w:rFonts w:ascii="David" w:hAnsi="David" w:cs="David"/>
          <w:sz w:val="24"/>
          <w:szCs w:val="24"/>
          <w:rtl/>
        </w:rPr>
        <w:t xml:space="preserve"> (מחוזי מרכז) 44175-10-16 </w:t>
      </w:r>
      <w:r>
        <w:rPr>
          <w:rFonts w:ascii="David" w:hAnsi="David" w:cs="David"/>
          <w:b/>
          <w:bCs/>
          <w:sz w:val="24"/>
          <w:szCs w:val="24"/>
          <w:rtl/>
        </w:rPr>
        <w:t>ר. ב נ' ע. מ</w:t>
      </w:r>
      <w:r>
        <w:rPr>
          <w:rFonts w:ascii="David" w:hAnsi="David" w:cs="David"/>
          <w:sz w:val="24"/>
          <w:szCs w:val="24"/>
          <w:rtl/>
        </w:rPr>
        <w:t> (נבו 30.11.2017)‏</w:t>
      </w:r>
      <w:r>
        <w:rPr>
          <w:rFonts w:ascii="David" w:hAnsi="David" w:cs="David"/>
          <w:color w:val="000000"/>
          <w:sz w:val="24"/>
          <w:szCs w:val="24"/>
          <w:rtl/>
        </w:rPr>
        <w:t xml:space="preserve">‏ והאסמכתאות המצוינות שם), וכן: </w:t>
      </w:r>
      <w:r>
        <w:rPr>
          <w:rFonts w:ascii="David" w:hAnsi="David" w:cs="David"/>
          <w:b/>
          <w:bCs/>
          <w:color w:val="000000"/>
          <w:sz w:val="24"/>
          <w:szCs w:val="24"/>
          <w:rtl/>
        </w:rPr>
        <w:t xml:space="preserve">"[...] קיומו של פגם מעלה את החשד שהצוואה אינה משקפת את רצונו החופשי, </w:t>
      </w:r>
      <w:proofErr w:type="spellStart"/>
      <w:r>
        <w:rPr>
          <w:rFonts w:ascii="David" w:hAnsi="David" w:cs="David"/>
          <w:b/>
          <w:bCs/>
          <w:color w:val="000000"/>
          <w:sz w:val="24"/>
          <w:szCs w:val="24"/>
          <w:rtl/>
        </w:rPr>
        <w:t>האמיתי</w:t>
      </w:r>
      <w:proofErr w:type="spellEnd"/>
      <w:r>
        <w:rPr>
          <w:rFonts w:ascii="David" w:hAnsi="David" w:cs="David"/>
          <w:b/>
          <w:bCs/>
          <w:color w:val="000000"/>
          <w:sz w:val="24"/>
          <w:szCs w:val="24"/>
          <w:rtl/>
        </w:rPr>
        <w:t xml:space="preserve">, המלא והמוחלט של המצווה. גם אם עסקינן בפגמים צורניים, עובר נטל ההוכחה להסרת הספק בדבר אמיתות הצואה אל המבקש לקיימה [...]." </w:t>
      </w:r>
      <w:r>
        <w:rPr>
          <w:rFonts w:ascii="David" w:hAnsi="David" w:cs="David"/>
          <w:color w:val="000000"/>
          <w:sz w:val="24"/>
          <w:szCs w:val="24"/>
          <w:rtl/>
        </w:rPr>
        <w:t xml:space="preserve">(עיינו </w:t>
      </w:r>
      <w:proofErr w:type="spellStart"/>
      <w:r>
        <w:rPr>
          <w:rFonts w:ascii="David" w:hAnsi="David" w:cs="David"/>
          <w:sz w:val="24"/>
          <w:szCs w:val="24"/>
          <w:rtl/>
        </w:rPr>
        <w:t>עמ"ש</w:t>
      </w:r>
      <w:proofErr w:type="spellEnd"/>
      <w:r>
        <w:rPr>
          <w:rFonts w:ascii="David" w:hAnsi="David" w:cs="David"/>
          <w:sz w:val="24"/>
          <w:szCs w:val="24"/>
          <w:rtl/>
        </w:rPr>
        <w:t xml:space="preserve"> (מחוזי באר שבע) 57029-05-18 </w:t>
      </w:r>
      <w:r>
        <w:rPr>
          <w:rFonts w:ascii="David" w:hAnsi="David" w:cs="David"/>
          <w:b/>
          <w:bCs/>
          <w:sz w:val="24"/>
          <w:szCs w:val="24"/>
          <w:rtl/>
        </w:rPr>
        <w:t>מ.ס נ' א.ה</w:t>
      </w:r>
      <w:r>
        <w:rPr>
          <w:rFonts w:ascii="David" w:hAnsi="David" w:cs="David"/>
          <w:sz w:val="24"/>
          <w:szCs w:val="24"/>
          <w:rtl/>
        </w:rPr>
        <w:t> (נבו 29.11.2018)‏</w:t>
      </w:r>
      <w:r>
        <w:rPr>
          <w:rFonts w:ascii="David" w:hAnsi="David" w:cs="David"/>
          <w:color w:val="000000"/>
          <w:sz w:val="24"/>
          <w:szCs w:val="24"/>
          <w:rtl/>
        </w:rPr>
        <w:t>‏ והאסמכתאות המצוינות שם).</w:t>
      </w:r>
    </w:p>
    <w:p w:rsidR="00457B60" w:rsidRDefault="00457B60" w:rsidP="00457B60">
      <w:pPr>
        <w:pStyle w:val="af2"/>
        <w:numPr>
          <w:ilvl w:val="0"/>
          <w:numId w:val="4"/>
        </w:numPr>
        <w:spacing w:after="120" w:line="360" w:lineRule="auto"/>
        <w:ind w:left="566" w:hanging="567"/>
        <w:contextualSpacing w:val="0"/>
        <w:jc w:val="both"/>
        <w:rPr>
          <w:rFonts w:ascii="David" w:hAnsi="David" w:cs="David"/>
          <w:sz w:val="24"/>
          <w:szCs w:val="24"/>
          <w:rtl/>
        </w:rPr>
      </w:pPr>
      <w:r>
        <w:rPr>
          <w:rFonts w:ascii="David" w:hAnsi="David" w:cs="David"/>
          <w:color w:val="000000"/>
          <w:sz w:val="24"/>
          <w:szCs w:val="24"/>
          <w:rtl/>
        </w:rPr>
        <w:t xml:space="preserve">נוכח כל האמור, </w:t>
      </w:r>
      <w:proofErr w:type="spellStart"/>
      <w:r>
        <w:rPr>
          <w:rFonts w:ascii="David" w:hAnsi="David" w:cs="David"/>
          <w:color w:val="000000"/>
          <w:sz w:val="24"/>
          <w:szCs w:val="24"/>
          <w:rtl/>
        </w:rPr>
        <w:t>סבורתני</w:t>
      </w:r>
      <w:proofErr w:type="spellEnd"/>
      <w:r>
        <w:rPr>
          <w:rFonts w:ascii="David" w:hAnsi="David" w:cs="David"/>
          <w:color w:val="000000"/>
          <w:sz w:val="24"/>
          <w:szCs w:val="24"/>
          <w:rtl/>
        </w:rPr>
        <w:t xml:space="preserve"> כי שגה בית משפט קמא משקבע ש</w:t>
      </w:r>
      <w:r w:rsidR="00C14E19">
        <w:rPr>
          <w:rFonts w:ascii="David" w:hAnsi="David" w:cs="David"/>
          <w:color w:val="000000"/>
          <w:sz w:val="24"/>
          <w:szCs w:val="24"/>
          <w:rtl/>
        </w:rPr>
        <w:t xml:space="preserve">אין להעביר את נטל הראייה לכתפי </w:t>
      </w:r>
      <w:r w:rsidR="000F5BF7">
        <w:rPr>
          <w:rFonts w:ascii="David" w:hAnsi="David" w:cs="David"/>
          <w:color w:val="000000"/>
          <w:sz w:val="24"/>
          <w:szCs w:val="24"/>
          <w:rtl/>
        </w:rPr>
        <w:t>ו'</w:t>
      </w:r>
      <w:r>
        <w:rPr>
          <w:rFonts w:ascii="David" w:hAnsi="David" w:cs="David"/>
          <w:color w:val="000000"/>
          <w:sz w:val="24"/>
          <w:szCs w:val="24"/>
          <w:rtl/>
        </w:rPr>
        <w:t xml:space="preserve">, וכי נטל הראיה מוטל על </w:t>
      </w:r>
      <w:r w:rsidR="000F5BF7">
        <w:rPr>
          <w:rFonts w:ascii="David" w:hAnsi="David" w:cs="David"/>
          <w:color w:val="000000"/>
          <w:sz w:val="24"/>
          <w:szCs w:val="24"/>
          <w:rtl/>
        </w:rPr>
        <w:t>ס'</w:t>
      </w:r>
      <w:r>
        <w:rPr>
          <w:rFonts w:ascii="David" w:hAnsi="David" w:cs="David"/>
          <w:color w:val="000000"/>
          <w:sz w:val="24"/>
          <w:szCs w:val="24"/>
          <w:rtl/>
        </w:rPr>
        <w:t xml:space="preserve"> </w:t>
      </w:r>
      <w:proofErr w:type="spellStart"/>
      <w:r>
        <w:rPr>
          <w:rFonts w:ascii="David" w:hAnsi="David" w:cs="David"/>
          <w:color w:val="000000"/>
          <w:sz w:val="24"/>
          <w:szCs w:val="24"/>
          <w:rtl/>
        </w:rPr>
        <w:t>ו</w:t>
      </w:r>
      <w:r w:rsidR="000F5BF7">
        <w:rPr>
          <w:rFonts w:ascii="David" w:hAnsi="David" w:cs="David"/>
          <w:color w:val="000000"/>
          <w:sz w:val="24"/>
          <w:szCs w:val="24"/>
          <w:rtl/>
        </w:rPr>
        <w:t>מ</w:t>
      </w:r>
      <w:proofErr w:type="spellEnd"/>
      <w:r w:rsidR="000F5BF7">
        <w:rPr>
          <w:rFonts w:ascii="David" w:hAnsi="David" w:cs="David"/>
          <w:color w:val="000000"/>
          <w:sz w:val="24"/>
          <w:szCs w:val="24"/>
          <w:rtl/>
        </w:rPr>
        <w:t>'</w:t>
      </w:r>
      <w:r>
        <w:rPr>
          <w:rFonts w:ascii="David" w:hAnsi="David" w:cs="David"/>
          <w:color w:val="000000"/>
          <w:sz w:val="24"/>
          <w:szCs w:val="24"/>
          <w:rtl/>
        </w:rPr>
        <w:t>.</w:t>
      </w:r>
    </w:p>
    <w:p w:rsidR="00457B60" w:rsidRDefault="00457B60" w:rsidP="00457B60">
      <w:pPr>
        <w:pStyle w:val="af2"/>
        <w:numPr>
          <w:ilvl w:val="0"/>
          <w:numId w:val="4"/>
        </w:numPr>
        <w:spacing w:after="120" w:line="360" w:lineRule="auto"/>
        <w:ind w:left="566" w:hanging="567"/>
        <w:contextualSpacing w:val="0"/>
        <w:jc w:val="both"/>
        <w:rPr>
          <w:rFonts w:ascii="David" w:hAnsi="David" w:cs="David"/>
          <w:color w:val="000000"/>
          <w:sz w:val="24"/>
          <w:szCs w:val="24"/>
          <w:rtl/>
        </w:rPr>
      </w:pPr>
      <w:r>
        <w:rPr>
          <w:rFonts w:ascii="David" w:hAnsi="David" w:cs="David"/>
          <w:sz w:val="24"/>
          <w:szCs w:val="24"/>
          <w:rtl/>
        </w:rPr>
        <w:t xml:space="preserve">באשר לצירוף הראיות אני סבורה שאין להתיר צירופן. חברי כב' השופט חננאל שרעבי קבע שהתנאים המצוינים בתקנה 144 לתקנות חלים בענייננו, מכאן שיש להחזיר התיק לבית משפט קמא על מנת שיבחן הראיות החדשות והשלכותיהן לגבי השאלות שבמחלוקת. את מסקנתו זו הסיק, להבנתי, מכך שמר </w:t>
      </w:r>
      <w:r w:rsidR="000F5BF7">
        <w:rPr>
          <w:rFonts w:ascii="David" w:hAnsi="David" w:cs="David"/>
          <w:sz w:val="24"/>
          <w:szCs w:val="24"/>
          <w:rtl/>
        </w:rPr>
        <w:t>ר'</w:t>
      </w:r>
      <w:r>
        <w:rPr>
          <w:rFonts w:ascii="David" w:hAnsi="David" w:cs="David"/>
          <w:sz w:val="24"/>
          <w:szCs w:val="24"/>
          <w:rtl/>
        </w:rPr>
        <w:t xml:space="preserve"> זכה לאמון מלא מבית משפט קמא באשר לנסיבות עריכת שלושת הצוואות והיעדר מעורבותו של ו</w:t>
      </w:r>
      <w:r w:rsidR="000F5BF7">
        <w:rPr>
          <w:rFonts w:ascii="David" w:hAnsi="David" w:cs="David"/>
          <w:sz w:val="24"/>
          <w:szCs w:val="24"/>
          <w:rtl/>
        </w:rPr>
        <w:t>ו'</w:t>
      </w:r>
      <w:r>
        <w:rPr>
          <w:rFonts w:ascii="David" w:hAnsi="David" w:cs="David"/>
          <w:sz w:val="24"/>
          <w:szCs w:val="24"/>
          <w:rtl/>
        </w:rPr>
        <w:t xml:space="preserve"> בעריכתן (סעיף 50 לפסק דינו). </w:t>
      </w:r>
      <w:r>
        <w:rPr>
          <w:rFonts w:ascii="David" w:hAnsi="David" w:cs="David"/>
          <w:color w:val="000000"/>
          <w:sz w:val="24"/>
          <w:szCs w:val="24"/>
          <w:rtl/>
        </w:rPr>
        <w:t>אני סבורה אחרת, ואנמק.</w:t>
      </w:r>
    </w:p>
    <w:p w:rsidR="00457B60" w:rsidRDefault="00457B60" w:rsidP="00457B60">
      <w:pPr>
        <w:pStyle w:val="af2"/>
        <w:numPr>
          <w:ilvl w:val="0"/>
          <w:numId w:val="4"/>
        </w:numPr>
        <w:spacing w:after="120" w:line="360" w:lineRule="auto"/>
        <w:ind w:left="566" w:hanging="567"/>
        <w:contextualSpacing w:val="0"/>
        <w:jc w:val="both"/>
        <w:rPr>
          <w:rFonts w:ascii="David" w:hAnsi="David" w:cs="David"/>
          <w:sz w:val="24"/>
          <w:szCs w:val="24"/>
        </w:rPr>
      </w:pPr>
      <w:r>
        <w:rPr>
          <w:rFonts w:ascii="David" w:hAnsi="David" w:cs="David"/>
          <w:sz w:val="24"/>
          <w:szCs w:val="24"/>
          <w:rtl/>
        </w:rPr>
        <w:t xml:space="preserve">מר </w:t>
      </w:r>
      <w:r w:rsidR="000F5BF7">
        <w:rPr>
          <w:rFonts w:ascii="David" w:hAnsi="David" w:cs="David"/>
          <w:sz w:val="24"/>
          <w:szCs w:val="24"/>
          <w:rtl/>
        </w:rPr>
        <w:t>ר'</w:t>
      </w:r>
      <w:r>
        <w:rPr>
          <w:rFonts w:ascii="David" w:hAnsi="David" w:cs="David"/>
          <w:sz w:val="24"/>
          <w:szCs w:val="24"/>
          <w:rtl/>
        </w:rPr>
        <w:t xml:space="preserve"> נחקר בבית משפט קמא על ידי ארבעה עורכי דין שונים (עו"ד </w:t>
      </w:r>
      <w:proofErr w:type="spellStart"/>
      <w:r>
        <w:rPr>
          <w:rFonts w:ascii="David" w:hAnsi="David" w:cs="David"/>
          <w:sz w:val="24"/>
          <w:szCs w:val="24"/>
          <w:rtl/>
        </w:rPr>
        <w:t>חמאיסי</w:t>
      </w:r>
      <w:proofErr w:type="spellEnd"/>
      <w:r>
        <w:rPr>
          <w:rFonts w:ascii="David" w:hAnsi="David" w:cs="David"/>
          <w:sz w:val="24"/>
          <w:szCs w:val="24"/>
          <w:rtl/>
        </w:rPr>
        <w:t xml:space="preserve">, עו"ד עבד, עו"ד </w:t>
      </w:r>
      <w:proofErr w:type="spellStart"/>
      <w:r>
        <w:rPr>
          <w:rFonts w:ascii="David" w:hAnsi="David" w:cs="David"/>
          <w:sz w:val="24"/>
          <w:szCs w:val="24"/>
          <w:rtl/>
        </w:rPr>
        <w:t>דקווח</w:t>
      </w:r>
      <w:proofErr w:type="spellEnd"/>
      <w:r>
        <w:rPr>
          <w:rFonts w:ascii="David" w:hAnsi="David" w:cs="David"/>
          <w:sz w:val="24"/>
          <w:szCs w:val="24"/>
          <w:rtl/>
        </w:rPr>
        <w:t xml:space="preserve"> ועו"ד עודה). פרוטוקול עדותו מתפרס על פני 28 עמודים. בית משפט התרשם ממהימנותו (ראו סעיף 106 וכן 130 לפסק הדין קמא). עדותו של </w:t>
      </w:r>
      <w:r w:rsidR="000F5BF7">
        <w:rPr>
          <w:rFonts w:ascii="David" w:hAnsi="David" w:cs="David"/>
          <w:sz w:val="24"/>
          <w:szCs w:val="24"/>
          <w:rtl/>
        </w:rPr>
        <w:t>ר'</w:t>
      </w:r>
      <w:r>
        <w:rPr>
          <w:rFonts w:ascii="David" w:hAnsi="David" w:cs="David"/>
          <w:sz w:val="24"/>
          <w:szCs w:val="24"/>
          <w:rtl/>
        </w:rPr>
        <w:t xml:space="preserve"> הייתה ארוכה, בית משפט קמא נתן בו אמון מלא. העד מר </w:t>
      </w:r>
      <w:r w:rsidR="000F5BF7">
        <w:rPr>
          <w:rFonts w:ascii="David" w:hAnsi="David" w:cs="David"/>
          <w:sz w:val="24"/>
          <w:szCs w:val="24"/>
          <w:rtl/>
        </w:rPr>
        <w:t>ר'</w:t>
      </w:r>
      <w:r w:rsidR="00C14E19">
        <w:rPr>
          <w:rFonts w:ascii="David" w:hAnsi="David" w:cs="David"/>
          <w:sz w:val="24"/>
          <w:szCs w:val="24"/>
          <w:rtl/>
        </w:rPr>
        <w:t xml:space="preserve"> לא צמצם את מעורבותו של </w:t>
      </w:r>
      <w:r w:rsidR="000F5BF7">
        <w:rPr>
          <w:rFonts w:ascii="David" w:hAnsi="David" w:cs="David"/>
          <w:sz w:val="24"/>
          <w:szCs w:val="24"/>
          <w:rtl/>
        </w:rPr>
        <w:t>ו'</w:t>
      </w:r>
      <w:r w:rsidR="00C14E19">
        <w:rPr>
          <w:rFonts w:ascii="David" w:hAnsi="David" w:cs="David"/>
          <w:sz w:val="24"/>
          <w:szCs w:val="24"/>
          <w:rtl/>
        </w:rPr>
        <w:t xml:space="preserve"> בצוואה, סתר את גרסת </w:t>
      </w:r>
      <w:r w:rsidR="000F5BF7">
        <w:rPr>
          <w:rFonts w:ascii="David" w:hAnsi="David" w:cs="David"/>
          <w:sz w:val="24"/>
          <w:szCs w:val="24"/>
          <w:rtl/>
        </w:rPr>
        <w:t>ו'</w:t>
      </w:r>
      <w:r>
        <w:rPr>
          <w:rFonts w:ascii="David" w:hAnsi="David" w:cs="David"/>
          <w:sz w:val="24"/>
          <w:szCs w:val="24"/>
          <w:rtl/>
        </w:rPr>
        <w:t xml:space="preserve"> כי גילה את צוואת אוגוסט 81' שנים רבות לאחר מכן, וכן מסר עדות מפורטת באשר למנוח ונסיבות עריכת הצוואות, עובדות שלא נסתרו.  </w:t>
      </w:r>
    </w:p>
    <w:p w:rsidR="00457B60" w:rsidRDefault="00457B60" w:rsidP="00457B60">
      <w:pPr>
        <w:pStyle w:val="af2"/>
        <w:numPr>
          <w:ilvl w:val="0"/>
          <w:numId w:val="4"/>
        </w:numPr>
        <w:spacing w:after="120" w:line="360" w:lineRule="auto"/>
        <w:ind w:left="566" w:hanging="567"/>
        <w:contextualSpacing w:val="0"/>
        <w:jc w:val="both"/>
        <w:rPr>
          <w:rFonts w:ascii="David" w:hAnsi="David" w:cs="David"/>
          <w:sz w:val="24"/>
          <w:szCs w:val="24"/>
        </w:rPr>
      </w:pPr>
      <w:r>
        <w:rPr>
          <w:rFonts w:ascii="David" w:hAnsi="David" w:cs="David"/>
          <w:sz w:val="24"/>
          <w:szCs w:val="24"/>
          <w:rtl/>
        </w:rPr>
        <w:t xml:space="preserve">ראו למשל, העד </w:t>
      </w:r>
      <w:r w:rsidR="000F5BF7">
        <w:rPr>
          <w:rFonts w:ascii="David" w:hAnsi="David" w:cs="David"/>
          <w:sz w:val="24"/>
          <w:szCs w:val="24"/>
          <w:rtl/>
        </w:rPr>
        <w:t>ר'</w:t>
      </w:r>
      <w:r w:rsidR="00C14E19">
        <w:rPr>
          <w:rFonts w:ascii="David" w:hAnsi="David" w:cs="David"/>
          <w:sz w:val="24"/>
          <w:szCs w:val="24"/>
          <w:rtl/>
        </w:rPr>
        <w:t xml:space="preserve"> העיד ביחס למעורב</w:t>
      </w:r>
      <w:r w:rsidR="00C14E19">
        <w:rPr>
          <w:rFonts w:ascii="David" w:hAnsi="David" w:cs="David" w:hint="cs"/>
          <w:sz w:val="24"/>
          <w:szCs w:val="24"/>
          <w:rtl/>
        </w:rPr>
        <w:t>ו</w:t>
      </w:r>
      <w:r w:rsidR="00C14E19">
        <w:rPr>
          <w:rFonts w:ascii="David" w:hAnsi="David" w:cs="David"/>
          <w:sz w:val="24"/>
          <w:szCs w:val="24"/>
          <w:rtl/>
        </w:rPr>
        <w:t xml:space="preserve">תו של </w:t>
      </w:r>
      <w:r w:rsidR="000F5BF7">
        <w:rPr>
          <w:rFonts w:ascii="David" w:hAnsi="David" w:cs="David"/>
          <w:sz w:val="24"/>
          <w:szCs w:val="24"/>
          <w:rtl/>
        </w:rPr>
        <w:t>ו'</w:t>
      </w:r>
      <w:r>
        <w:rPr>
          <w:rFonts w:ascii="David" w:hAnsi="David" w:cs="David"/>
          <w:sz w:val="24"/>
          <w:szCs w:val="24"/>
          <w:rtl/>
        </w:rPr>
        <w:t xml:space="preserve"> לעניין הצוואה, כדלקמן:</w:t>
      </w:r>
    </w:p>
    <w:p w:rsidR="00457B60" w:rsidRDefault="00457B60" w:rsidP="00457B60">
      <w:pPr>
        <w:pStyle w:val="af2"/>
        <w:spacing w:after="120" w:line="360" w:lineRule="auto"/>
        <w:ind w:left="566" w:right="709" w:hanging="567"/>
        <w:contextualSpacing w:val="0"/>
        <w:jc w:val="both"/>
        <w:rPr>
          <w:rFonts w:ascii="David" w:hAnsi="David" w:cs="David"/>
          <w:sz w:val="24"/>
          <w:szCs w:val="24"/>
          <w:highlight w:val="yellow"/>
          <w:rtl/>
        </w:rPr>
      </w:pPr>
      <w:r>
        <w:rPr>
          <w:rFonts w:ascii="David" w:hAnsi="David" w:cs="David"/>
          <w:b/>
          <w:bCs/>
          <w:sz w:val="24"/>
          <w:szCs w:val="24"/>
          <w:rtl/>
        </w:rPr>
        <w:tab/>
        <w:t>"ש: נתבקשת לגשת למנוח. ועל ידי מי התבקשת? ת: רוב הסיכויים אם אני לא טועה, כנ</w:t>
      </w:r>
      <w:r w:rsidR="00C14E19">
        <w:rPr>
          <w:rFonts w:ascii="David" w:hAnsi="David" w:cs="David"/>
          <w:b/>
          <w:bCs/>
          <w:sz w:val="24"/>
          <w:szCs w:val="24"/>
          <w:rtl/>
        </w:rPr>
        <w:t xml:space="preserve">ראה </w:t>
      </w:r>
      <w:r w:rsidR="000F5BF7">
        <w:rPr>
          <w:rFonts w:ascii="David" w:hAnsi="David" w:cs="David"/>
          <w:b/>
          <w:bCs/>
          <w:sz w:val="24"/>
          <w:szCs w:val="24"/>
          <w:rtl/>
        </w:rPr>
        <w:t>ו'</w:t>
      </w:r>
      <w:r>
        <w:rPr>
          <w:rFonts w:ascii="David" w:hAnsi="David" w:cs="David"/>
          <w:b/>
          <w:bCs/>
          <w:sz w:val="24"/>
          <w:szCs w:val="24"/>
          <w:rtl/>
        </w:rPr>
        <w:t>."</w:t>
      </w:r>
      <w:r>
        <w:rPr>
          <w:rFonts w:ascii="David" w:hAnsi="David" w:cs="David"/>
          <w:sz w:val="24"/>
          <w:szCs w:val="24"/>
          <w:rtl/>
        </w:rPr>
        <w:t xml:space="preserve"> (פרוט' דיון עמ' 4, ש' 38-39);</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sz w:val="24"/>
          <w:szCs w:val="24"/>
          <w:rtl/>
        </w:rPr>
        <w:lastRenderedPageBreak/>
        <w:tab/>
        <w:t xml:space="preserve">וכן: </w:t>
      </w:r>
      <w:r>
        <w:rPr>
          <w:rFonts w:ascii="David" w:hAnsi="David" w:cs="David"/>
          <w:b/>
          <w:bCs/>
          <w:sz w:val="24"/>
          <w:szCs w:val="24"/>
          <w:rtl/>
        </w:rPr>
        <w:t xml:space="preserve">"עו"ד </w:t>
      </w:r>
      <w:proofErr w:type="spellStart"/>
      <w:r>
        <w:rPr>
          <w:rFonts w:ascii="David" w:hAnsi="David" w:cs="David"/>
          <w:b/>
          <w:bCs/>
          <w:sz w:val="24"/>
          <w:szCs w:val="24"/>
          <w:rtl/>
        </w:rPr>
        <w:t>חמאיסי</w:t>
      </w:r>
      <w:proofErr w:type="spellEnd"/>
      <w:r>
        <w:rPr>
          <w:rFonts w:ascii="David" w:hAnsi="David" w:cs="David"/>
          <w:b/>
          <w:bCs/>
          <w:sz w:val="24"/>
          <w:szCs w:val="24"/>
          <w:rtl/>
        </w:rPr>
        <w:t>: נכון. כש</w:t>
      </w:r>
      <w:r w:rsidR="00C14E19">
        <w:rPr>
          <w:rFonts w:ascii="David" w:hAnsi="David" w:cs="David"/>
          <w:b/>
          <w:bCs/>
          <w:sz w:val="24"/>
          <w:szCs w:val="24"/>
          <w:rtl/>
        </w:rPr>
        <w:t xml:space="preserve">אתה אומר שרוב הסיכויים שהיה זה </w:t>
      </w:r>
      <w:r w:rsidR="000F5BF7">
        <w:rPr>
          <w:rFonts w:ascii="David" w:hAnsi="David" w:cs="David"/>
          <w:b/>
          <w:bCs/>
          <w:sz w:val="24"/>
          <w:szCs w:val="24"/>
          <w:rtl/>
        </w:rPr>
        <w:t>ו'</w:t>
      </w:r>
      <w:r w:rsidR="00C14E19">
        <w:rPr>
          <w:rFonts w:ascii="David" w:hAnsi="David" w:cs="David"/>
          <w:b/>
          <w:bCs/>
          <w:sz w:val="24"/>
          <w:szCs w:val="24"/>
          <w:rtl/>
        </w:rPr>
        <w:t xml:space="preserve"> שקיבל ממך את הצוואה, כן? ל</w:t>
      </w:r>
      <w:r w:rsidR="000F5BF7">
        <w:rPr>
          <w:rFonts w:ascii="David" w:hAnsi="David" w:cs="David"/>
          <w:b/>
          <w:bCs/>
          <w:sz w:val="24"/>
          <w:szCs w:val="24"/>
          <w:rtl/>
        </w:rPr>
        <w:t>ו'</w:t>
      </w:r>
      <w:r>
        <w:rPr>
          <w:rFonts w:ascii="David" w:hAnsi="David" w:cs="David"/>
          <w:b/>
          <w:bCs/>
          <w:sz w:val="24"/>
          <w:szCs w:val="24"/>
          <w:rtl/>
        </w:rPr>
        <w:t xml:space="preserve"> מסרת 3 עותקים של הצוואה? העד, מר </w:t>
      </w:r>
      <w:r w:rsidR="000F5BF7">
        <w:rPr>
          <w:rFonts w:ascii="David" w:hAnsi="David" w:cs="David"/>
          <w:b/>
          <w:bCs/>
          <w:sz w:val="24"/>
          <w:szCs w:val="24"/>
          <w:rtl/>
        </w:rPr>
        <w:t>ר'</w:t>
      </w:r>
      <w:r>
        <w:rPr>
          <w:rFonts w:ascii="David" w:hAnsi="David" w:cs="David"/>
          <w:b/>
          <w:bCs/>
          <w:sz w:val="24"/>
          <w:szCs w:val="24"/>
          <w:rtl/>
        </w:rPr>
        <w:t xml:space="preserve">: את העותקים שהכנתי." </w:t>
      </w:r>
      <w:r>
        <w:rPr>
          <w:rFonts w:ascii="David" w:hAnsi="David" w:cs="David"/>
          <w:sz w:val="24"/>
          <w:szCs w:val="24"/>
          <w:rtl/>
        </w:rPr>
        <w:t>(פרוט' דיון עמ' 9, ש' 11-13);</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sz w:val="24"/>
          <w:szCs w:val="24"/>
          <w:rtl/>
        </w:rPr>
        <w:tab/>
        <w:t xml:space="preserve">וכן: </w:t>
      </w:r>
      <w:r>
        <w:rPr>
          <w:rFonts w:ascii="David" w:hAnsi="David" w:cs="David"/>
          <w:b/>
          <w:bCs/>
          <w:sz w:val="24"/>
          <w:szCs w:val="24"/>
          <w:rtl/>
        </w:rPr>
        <w:t>"ש: וחוץ מהרשימה שסידרו לך, אתה נע</w:t>
      </w:r>
      <w:r w:rsidR="00C14E19">
        <w:rPr>
          <w:rFonts w:ascii="David" w:hAnsi="David" w:cs="David"/>
          <w:b/>
          <w:bCs/>
          <w:sz w:val="24"/>
          <w:szCs w:val="24"/>
          <w:rtl/>
        </w:rPr>
        <w:t>זרת גם, קיבלת סיוע כל שהוא גם מ</w:t>
      </w:r>
      <w:r w:rsidR="000F5BF7">
        <w:rPr>
          <w:rFonts w:ascii="David" w:hAnsi="David" w:cs="David"/>
          <w:b/>
          <w:bCs/>
          <w:sz w:val="24"/>
          <w:szCs w:val="24"/>
          <w:rtl/>
        </w:rPr>
        <w:t>ו'</w:t>
      </w:r>
      <w:r>
        <w:rPr>
          <w:rFonts w:ascii="David" w:hAnsi="David" w:cs="David"/>
          <w:b/>
          <w:bCs/>
          <w:sz w:val="24"/>
          <w:szCs w:val="24"/>
          <w:rtl/>
        </w:rPr>
        <w:t xml:space="preserve"> מן הסתם. ת: למה אתה מתכוון סיוע? ש: למשל בפרט כל שהוא בעניין חלקה כזו או אחרת או, ת: לא, לא היה צריך סיוע. ש: לא היה צריך סיוע? ת: לא." </w:t>
      </w:r>
      <w:r>
        <w:rPr>
          <w:rFonts w:ascii="David" w:hAnsi="David" w:cs="David"/>
          <w:sz w:val="24"/>
          <w:szCs w:val="24"/>
          <w:rtl/>
        </w:rPr>
        <w:t>(פרוט' דיון עמ' 9, ש' 29-35),</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sz w:val="24"/>
          <w:szCs w:val="24"/>
          <w:rtl/>
        </w:rPr>
        <w:tab/>
        <w:t>וכן: "</w:t>
      </w:r>
      <w:r>
        <w:rPr>
          <w:rFonts w:ascii="David" w:hAnsi="David" w:cs="David"/>
          <w:b/>
          <w:bCs/>
          <w:sz w:val="24"/>
          <w:szCs w:val="24"/>
          <w:rtl/>
        </w:rPr>
        <w:t xml:space="preserve">עו"ד עודה: [...] מר </w:t>
      </w:r>
      <w:r w:rsidR="000F5BF7">
        <w:rPr>
          <w:rFonts w:ascii="David" w:hAnsi="David" w:cs="David"/>
          <w:b/>
          <w:bCs/>
          <w:sz w:val="24"/>
          <w:szCs w:val="24"/>
          <w:rtl/>
        </w:rPr>
        <w:t>ר'</w:t>
      </w:r>
      <w:r>
        <w:rPr>
          <w:rFonts w:ascii="David" w:hAnsi="David" w:cs="David"/>
          <w:b/>
          <w:bCs/>
          <w:sz w:val="24"/>
          <w:szCs w:val="24"/>
          <w:rtl/>
        </w:rPr>
        <w:t>, אני רוצה רק להדגיש שתי נקודות. אמרת שכשישבת עם המנוח בע</w:t>
      </w:r>
      <w:r w:rsidR="00C14E19">
        <w:rPr>
          <w:rFonts w:ascii="David" w:hAnsi="David" w:cs="David"/>
          <w:b/>
          <w:bCs/>
          <w:sz w:val="24"/>
          <w:szCs w:val="24"/>
          <w:rtl/>
        </w:rPr>
        <w:t>ניין עריכת הצוואות אתה לא נתת ל</w:t>
      </w:r>
      <w:r w:rsidR="000F5BF7">
        <w:rPr>
          <w:rFonts w:ascii="David" w:hAnsi="David" w:cs="David"/>
          <w:b/>
          <w:bCs/>
          <w:sz w:val="24"/>
          <w:szCs w:val="24"/>
          <w:rtl/>
        </w:rPr>
        <w:t>ו'</w:t>
      </w:r>
      <w:r w:rsidR="00C14E19">
        <w:rPr>
          <w:rFonts w:ascii="David" w:hAnsi="David" w:cs="David"/>
          <w:b/>
          <w:bCs/>
          <w:sz w:val="24"/>
          <w:szCs w:val="24"/>
          <w:rtl/>
        </w:rPr>
        <w:t xml:space="preserve"> להתערב ולא זכור לך </w:t>
      </w:r>
      <w:proofErr w:type="spellStart"/>
      <w:r w:rsidR="00C14E19">
        <w:rPr>
          <w:rFonts w:ascii="David" w:hAnsi="David" w:cs="David"/>
          <w:b/>
          <w:bCs/>
          <w:sz w:val="24"/>
          <w:szCs w:val="24"/>
          <w:rtl/>
        </w:rPr>
        <w:t>ש</w:t>
      </w:r>
      <w:r w:rsidR="000F5BF7">
        <w:rPr>
          <w:rFonts w:ascii="David" w:hAnsi="David" w:cs="David"/>
          <w:b/>
          <w:bCs/>
          <w:sz w:val="24"/>
          <w:szCs w:val="24"/>
          <w:rtl/>
        </w:rPr>
        <w:t>ו</w:t>
      </w:r>
      <w:proofErr w:type="spellEnd"/>
      <w:r w:rsidR="000F5BF7">
        <w:rPr>
          <w:rFonts w:ascii="David" w:hAnsi="David" w:cs="David"/>
          <w:b/>
          <w:bCs/>
          <w:sz w:val="24"/>
          <w:szCs w:val="24"/>
          <w:rtl/>
        </w:rPr>
        <w:t>'</w:t>
      </w:r>
      <w:r>
        <w:rPr>
          <w:rFonts w:ascii="David" w:hAnsi="David" w:cs="David"/>
          <w:b/>
          <w:bCs/>
          <w:sz w:val="24"/>
          <w:szCs w:val="24"/>
          <w:rtl/>
        </w:rPr>
        <w:t xml:space="preserve"> התערב, ואם היה מתערב היית אומר לו "אל תתערב". העד, מר </w:t>
      </w:r>
      <w:r w:rsidR="000F5BF7">
        <w:rPr>
          <w:rFonts w:ascii="David" w:hAnsi="David" w:cs="David"/>
          <w:b/>
          <w:bCs/>
          <w:sz w:val="24"/>
          <w:szCs w:val="24"/>
          <w:rtl/>
        </w:rPr>
        <w:t>ר'</w:t>
      </w:r>
      <w:r>
        <w:rPr>
          <w:rFonts w:ascii="David" w:hAnsi="David" w:cs="David"/>
          <w:b/>
          <w:bCs/>
          <w:sz w:val="24"/>
          <w:szCs w:val="24"/>
          <w:rtl/>
        </w:rPr>
        <w:t xml:space="preserve">: לא זכור לי שהתערב. אם היה מתערב ומשפיע הייתי אומר לו "אל תתערב". ואם בכל זאת היה ממשיך להתערב לא הייתי עורך צוואות." </w:t>
      </w:r>
      <w:r>
        <w:rPr>
          <w:rFonts w:ascii="David" w:hAnsi="David" w:cs="David"/>
          <w:sz w:val="24"/>
          <w:szCs w:val="24"/>
          <w:rtl/>
        </w:rPr>
        <w:t>(פרוט' דיון עמ' 27, ש' 33-37),</w:t>
      </w:r>
    </w:p>
    <w:p w:rsidR="00457B60" w:rsidRDefault="00457B60" w:rsidP="00457B60">
      <w:pPr>
        <w:pStyle w:val="af2"/>
        <w:numPr>
          <w:ilvl w:val="0"/>
          <w:numId w:val="4"/>
        </w:numPr>
        <w:spacing w:after="120" w:line="360" w:lineRule="auto"/>
        <w:ind w:left="566" w:hanging="567"/>
        <w:contextualSpacing w:val="0"/>
        <w:jc w:val="both"/>
        <w:rPr>
          <w:rFonts w:ascii="David" w:hAnsi="David" w:cs="David"/>
          <w:sz w:val="24"/>
          <w:szCs w:val="24"/>
          <w:rtl/>
        </w:rPr>
      </w:pPr>
      <w:r>
        <w:rPr>
          <w:rFonts w:ascii="David" w:hAnsi="David" w:cs="David"/>
          <w:sz w:val="24"/>
          <w:szCs w:val="24"/>
          <w:rtl/>
        </w:rPr>
        <w:t xml:space="preserve">ראו למשל, מר </w:t>
      </w:r>
      <w:r w:rsidR="000F5BF7">
        <w:rPr>
          <w:rFonts w:ascii="David" w:hAnsi="David" w:cs="David"/>
          <w:sz w:val="24"/>
          <w:szCs w:val="24"/>
          <w:rtl/>
        </w:rPr>
        <w:t>ר'</w:t>
      </w:r>
      <w:r>
        <w:rPr>
          <w:rFonts w:ascii="David" w:hAnsi="David" w:cs="David"/>
          <w:sz w:val="24"/>
          <w:szCs w:val="24"/>
          <w:rtl/>
        </w:rPr>
        <w:t xml:space="preserve"> לא תמך בגרסת ו</w:t>
      </w:r>
      <w:r w:rsidR="000F5BF7">
        <w:rPr>
          <w:rFonts w:ascii="David" w:hAnsi="David" w:cs="David"/>
          <w:sz w:val="24"/>
          <w:szCs w:val="24"/>
          <w:rtl/>
        </w:rPr>
        <w:t>ו'</w:t>
      </w:r>
      <w:r>
        <w:rPr>
          <w:rFonts w:ascii="David" w:hAnsi="David" w:cs="David"/>
          <w:sz w:val="24"/>
          <w:szCs w:val="24"/>
          <w:rtl/>
        </w:rPr>
        <w:t xml:space="preserve"> ביחס לגילויה המאוחר של צוואת אוגוסט 81, כדלקמן:</w:t>
      </w:r>
    </w:p>
    <w:p w:rsidR="00457B60" w:rsidRDefault="00C14E19" w:rsidP="00457B60">
      <w:pPr>
        <w:pStyle w:val="af2"/>
        <w:tabs>
          <w:tab w:val="right" w:pos="8929"/>
        </w:tabs>
        <w:spacing w:after="120" w:line="360" w:lineRule="auto"/>
        <w:ind w:left="566" w:right="709" w:hanging="567"/>
        <w:contextualSpacing w:val="0"/>
        <w:jc w:val="both"/>
        <w:rPr>
          <w:rFonts w:ascii="David" w:hAnsi="David" w:cs="David"/>
          <w:sz w:val="24"/>
          <w:szCs w:val="24"/>
          <w:highlight w:val="yellow"/>
          <w:rtl/>
        </w:rPr>
      </w:pPr>
      <w:r>
        <w:rPr>
          <w:rFonts w:ascii="David" w:hAnsi="David" w:cs="David"/>
          <w:b/>
          <w:bCs/>
          <w:sz w:val="24"/>
          <w:szCs w:val="24"/>
          <w:rtl/>
        </w:rPr>
        <w:tab/>
        <w:t xml:space="preserve">"ש: כן. אז </w:t>
      </w:r>
      <w:r w:rsidR="000F5BF7">
        <w:rPr>
          <w:rFonts w:ascii="David" w:hAnsi="David" w:cs="David"/>
          <w:b/>
          <w:bCs/>
          <w:sz w:val="24"/>
          <w:szCs w:val="24"/>
          <w:rtl/>
        </w:rPr>
        <w:t>ו'</w:t>
      </w:r>
      <w:r w:rsidR="00457B60">
        <w:rPr>
          <w:rFonts w:ascii="David" w:hAnsi="David" w:cs="David"/>
          <w:b/>
          <w:bCs/>
          <w:sz w:val="24"/>
          <w:szCs w:val="24"/>
          <w:rtl/>
        </w:rPr>
        <w:t xml:space="preserve"> למעשה ידע על הצוואה השלישית. ת: ידע."</w:t>
      </w:r>
      <w:r w:rsidR="00457B60">
        <w:rPr>
          <w:rFonts w:ascii="David" w:hAnsi="David" w:cs="David"/>
          <w:sz w:val="24"/>
          <w:szCs w:val="24"/>
          <w:rtl/>
        </w:rPr>
        <w:t xml:space="preserve"> (פרוט' דיון עמ' 26, ש' 32-33),</w:t>
      </w:r>
      <w:r w:rsidR="00457B60">
        <w:rPr>
          <w:rFonts w:ascii="David" w:hAnsi="David" w:cs="David"/>
          <w:sz w:val="24"/>
          <w:szCs w:val="24"/>
          <w:rtl/>
        </w:rPr>
        <w:tab/>
      </w:r>
    </w:p>
    <w:p w:rsidR="00A0376F" w:rsidRDefault="00457B60" w:rsidP="00C14E19">
      <w:pPr>
        <w:pStyle w:val="af2"/>
        <w:spacing w:after="120" w:line="360" w:lineRule="auto"/>
        <w:ind w:left="566" w:right="709" w:hanging="567"/>
        <w:contextualSpacing w:val="0"/>
        <w:jc w:val="both"/>
        <w:rPr>
          <w:rFonts w:ascii="David" w:hAnsi="David" w:cs="David"/>
          <w:sz w:val="24"/>
          <w:szCs w:val="24"/>
          <w:rtl/>
        </w:rPr>
      </w:pPr>
      <w:r>
        <w:rPr>
          <w:rFonts w:ascii="David" w:hAnsi="David" w:cs="David"/>
          <w:sz w:val="24"/>
          <w:szCs w:val="24"/>
          <w:rtl/>
        </w:rPr>
        <w:tab/>
        <w:t>וכן: "</w:t>
      </w:r>
      <w:r>
        <w:rPr>
          <w:rFonts w:ascii="David" w:hAnsi="David" w:cs="David"/>
          <w:b/>
          <w:bCs/>
          <w:sz w:val="24"/>
          <w:szCs w:val="24"/>
          <w:rtl/>
        </w:rPr>
        <w:t>ש: עכש</w:t>
      </w:r>
      <w:r w:rsidR="00C14E19">
        <w:rPr>
          <w:rFonts w:ascii="David" w:hAnsi="David" w:cs="David"/>
          <w:b/>
          <w:bCs/>
          <w:sz w:val="24"/>
          <w:szCs w:val="24"/>
          <w:rtl/>
        </w:rPr>
        <w:t xml:space="preserve">יו, אם </w:t>
      </w:r>
      <w:r w:rsidR="000F5BF7">
        <w:rPr>
          <w:rFonts w:ascii="David" w:hAnsi="David" w:cs="David"/>
          <w:b/>
          <w:bCs/>
          <w:sz w:val="24"/>
          <w:szCs w:val="24"/>
          <w:rtl/>
        </w:rPr>
        <w:t>ו'</w:t>
      </w:r>
      <w:r>
        <w:rPr>
          <w:rFonts w:ascii="David" w:hAnsi="David" w:cs="David"/>
          <w:b/>
          <w:bCs/>
          <w:sz w:val="24"/>
          <w:szCs w:val="24"/>
          <w:rtl/>
        </w:rPr>
        <w:t xml:space="preserve"> אומר שהוא גילה את הצוואה הזאת אחרי איזה 20 שנה, כנראה שהוא משקר, נכון?</w:t>
      </w:r>
      <w:r>
        <w:rPr>
          <w:rFonts w:ascii="David" w:hAnsi="David" w:cs="David"/>
          <w:sz w:val="24"/>
          <w:szCs w:val="24"/>
          <w:rtl/>
        </w:rPr>
        <w:t xml:space="preserve"> </w:t>
      </w:r>
      <w:r>
        <w:rPr>
          <w:rFonts w:ascii="David" w:hAnsi="David" w:cs="David"/>
          <w:b/>
          <w:bCs/>
          <w:sz w:val="24"/>
          <w:szCs w:val="24"/>
          <w:rtl/>
        </w:rPr>
        <w:t>ת:</w:t>
      </w:r>
      <w:r>
        <w:rPr>
          <w:rFonts w:ascii="David" w:hAnsi="David" w:cs="David"/>
          <w:sz w:val="24"/>
          <w:szCs w:val="24"/>
          <w:rtl/>
        </w:rPr>
        <w:t xml:space="preserve"> </w:t>
      </w:r>
      <w:r>
        <w:rPr>
          <w:rFonts w:ascii="David" w:hAnsi="David" w:cs="David"/>
          <w:b/>
          <w:bCs/>
          <w:sz w:val="24"/>
          <w:szCs w:val="24"/>
          <w:rtl/>
        </w:rPr>
        <w:t>אם הוא אומר את זה, כן. הוא משקר.</w:t>
      </w:r>
      <w:r w:rsidR="00A0376F">
        <w:rPr>
          <w:rFonts w:ascii="David" w:hAnsi="David" w:cs="David"/>
          <w:sz w:val="24"/>
          <w:szCs w:val="24"/>
          <w:rtl/>
        </w:rPr>
        <w:t>" (פרוט' דיון עמ' 27, ש' 1-3)</w:t>
      </w:r>
      <w:r w:rsidR="00A0376F">
        <w:rPr>
          <w:rFonts w:ascii="David" w:hAnsi="David" w:cs="David" w:hint="cs"/>
          <w:sz w:val="24"/>
          <w:szCs w:val="24"/>
          <w:rtl/>
        </w:rPr>
        <w:t>.</w:t>
      </w:r>
    </w:p>
    <w:p w:rsidR="00457B60" w:rsidRDefault="00457B60" w:rsidP="00457B60">
      <w:pPr>
        <w:pStyle w:val="af2"/>
        <w:numPr>
          <w:ilvl w:val="0"/>
          <w:numId w:val="4"/>
        </w:numPr>
        <w:spacing w:after="120" w:line="360" w:lineRule="auto"/>
        <w:ind w:left="566" w:hanging="567"/>
        <w:contextualSpacing w:val="0"/>
        <w:jc w:val="both"/>
        <w:rPr>
          <w:rFonts w:ascii="David" w:hAnsi="David" w:cs="David"/>
          <w:sz w:val="24"/>
          <w:szCs w:val="24"/>
          <w:rtl/>
        </w:rPr>
      </w:pPr>
      <w:r>
        <w:rPr>
          <w:rFonts w:ascii="David" w:hAnsi="David" w:cs="David"/>
          <w:sz w:val="24"/>
          <w:szCs w:val="24"/>
          <w:rtl/>
        </w:rPr>
        <w:t xml:space="preserve">ראו למשל, מר </w:t>
      </w:r>
      <w:r w:rsidR="000F5BF7">
        <w:rPr>
          <w:rFonts w:ascii="David" w:hAnsi="David" w:cs="David"/>
          <w:sz w:val="24"/>
          <w:szCs w:val="24"/>
          <w:rtl/>
        </w:rPr>
        <w:t>ר'</w:t>
      </w:r>
      <w:r>
        <w:rPr>
          <w:rFonts w:ascii="David" w:hAnsi="David" w:cs="David"/>
          <w:sz w:val="24"/>
          <w:szCs w:val="24"/>
          <w:rtl/>
        </w:rPr>
        <w:t xml:space="preserve"> העיד ביחס לתוכן הצוואה כי קיבלה ישירות מהמנוח, כדלקמן: </w:t>
      </w:r>
    </w:p>
    <w:p w:rsidR="00457B60" w:rsidRDefault="00457B60" w:rsidP="00457B60">
      <w:pPr>
        <w:pStyle w:val="af2"/>
        <w:spacing w:after="120" w:line="360" w:lineRule="auto"/>
        <w:ind w:left="566" w:right="709" w:hanging="567"/>
        <w:contextualSpacing w:val="0"/>
        <w:jc w:val="both"/>
        <w:rPr>
          <w:rFonts w:ascii="David" w:hAnsi="David" w:cs="David"/>
          <w:sz w:val="24"/>
          <w:szCs w:val="24"/>
          <w:highlight w:val="yellow"/>
          <w:rtl/>
        </w:rPr>
      </w:pPr>
      <w:r>
        <w:rPr>
          <w:rFonts w:ascii="David" w:hAnsi="David" w:cs="David"/>
          <w:b/>
          <w:bCs/>
          <w:sz w:val="24"/>
          <w:szCs w:val="24"/>
          <w:rtl/>
        </w:rPr>
        <w:tab/>
      </w:r>
      <w:r w:rsidR="00C14E19">
        <w:rPr>
          <w:rFonts w:ascii="David" w:hAnsi="David" w:cs="David"/>
          <w:b/>
          <w:bCs/>
          <w:sz w:val="24"/>
          <w:szCs w:val="24"/>
          <w:rtl/>
        </w:rPr>
        <w:t>"ת: לא, מ</w:t>
      </w:r>
      <w:r w:rsidR="000F5BF7">
        <w:rPr>
          <w:rFonts w:ascii="David" w:hAnsi="David" w:cs="David"/>
          <w:b/>
          <w:bCs/>
          <w:sz w:val="24"/>
          <w:szCs w:val="24"/>
          <w:rtl/>
        </w:rPr>
        <w:t>ו'</w:t>
      </w:r>
      <w:r>
        <w:rPr>
          <w:rFonts w:ascii="David" w:hAnsi="David" w:cs="David"/>
          <w:b/>
          <w:bCs/>
          <w:sz w:val="24"/>
          <w:szCs w:val="24"/>
          <w:rtl/>
        </w:rPr>
        <w:t xml:space="preserve"> אני לא קיבלתי פרטים. ש: לא קיבלת. הגעת למנוח, לביתו של המנוח? ת: כן. ש: והוא מסר לך את פרטי הצוואה שהוא רוצה? ת: נכון." </w:t>
      </w:r>
      <w:r>
        <w:rPr>
          <w:rFonts w:ascii="David" w:hAnsi="David" w:cs="David"/>
          <w:sz w:val="24"/>
          <w:szCs w:val="24"/>
          <w:rtl/>
        </w:rPr>
        <w:t xml:space="preserve">(פרוט' דיון עמ' 5, ש' 14-18), </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sz w:val="24"/>
          <w:szCs w:val="24"/>
          <w:rtl/>
        </w:rPr>
        <w:tab/>
        <w:t xml:space="preserve">וכן: </w:t>
      </w:r>
      <w:r>
        <w:rPr>
          <w:rFonts w:ascii="David" w:hAnsi="David" w:cs="David"/>
          <w:b/>
          <w:bCs/>
          <w:sz w:val="24"/>
          <w:szCs w:val="24"/>
          <w:rtl/>
        </w:rPr>
        <w:t>"ת: אני הגעתי אליו הביתה, קיבלתי את תוכן הצוואה. הכנתי אותה והיא נשלחה אליו."</w:t>
      </w:r>
      <w:r>
        <w:rPr>
          <w:rFonts w:ascii="David" w:hAnsi="David" w:cs="David"/>
          <w:sz w:val="24"/>
          <w:szCs w:val="24"/>
          <w:rtl/>
        </w:rPr>
        <w:t xml:space="preserve"> (פרוט' דיון עמ' 8, ש' 32-33).</w:t>
      </w:r>
    </w:p>
    <w:p w:rsidR="00457B60" w:rsidRDefault="00457B60" w:rsidP="00457B60">
      <w:pPr>
        <w:pStyle w:val="af2"/>
        <w:numPr>
          <w:ilvl w:val="0"/>
          <w:numId w:val="4"/>
        </w:numPr>
        <w:spacing w:after="120" w:line="360" w:lineRule="auto"/>
        <w:ind w:left="566" w:hanging="567"/>
        <w:contextualSpacing w:val="0"/>
        <w:jc w:val="both"/>
        <w:rPr>
          <w:rFonts w:ascii="David" w:hAnsi="David" w:cs="David"/>
          <w:sz w:val="24"/>
          <w:szCs w:val="24"/>
          <w:rtl/>
        </w:rPr>
      </w:pPr>
      <w:r>
        <w:rPr>
          <w:rFonts w:ascii="David" w:hAnsi="David" w:cs="David"/>
          <w:sz w:val="24"/>
          <w:szCs w:val="24"/>
          <w:rtl/>
        </w:rPr>
        <w:t xml:space="preserve">ראו למשל, מר </w:t>
      </w:r>
      <w:r w:rsidR="000F5BF7">
        <w:rPr>
          <w:rFonts w:ascii="David" w:hAnsi="David" w:cs="David"/>
          <w:sz w:val="24"/>
          <w:szCs w:val="24"/>
          <w:rtl/>
        </w:rPr>
        <w:t>ר'</w:t>
      </w:r>
      <w:r>
        <w:rPr>
          <w:rFonts w:ascii="David" w:hAnsi="David" w:cs="David"/>
          <w:sz w:val="24"/>
          <w:szCs w:val="24"/>
          <w:rtl/>
        </w:rPr>
        <w:t xml:space="preserve"> העיד ביחס לסיבת שינוי הצוואות הקודמות ועריכת צוואת אוגוסט 81, כדלקמן:</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b/>
          <w:bCs/>
          <w:sz w:val="24"/>
          <w:szCs w:val="24"/>
          <w:rtl/>
        </w:rPr>
        <w:tab/>
        <w:t>"ת: אני לא יודע מה גרם לכך. אבל הוא ביקש לשנ</w:t>
      </w:r>
      <w:r w:rsidR="00C14E19">
        <w:rPr>
          <w:rFonts w:ascii="David" w:hAnsi="David" w:cs="David"/>
          <w:b/>
          <w:bCs/>
          <w:sz w:val="24"/>
          <w:szCs w:val="24"/>
          <w:rtl/>
        </w:rPr>
        <w:t>ות. הוא ביקש להוסיף עוד הטבות ל</w:t>
      </w:r>
      <w:r w:rsidR="000F5BF7">
        <w:rPr>
          <w:rFonts w:ascii="David" w:hAnsi="David" w:cs="David"/>
          <w:b/>
          <w:bCs/>
          <w:sz w:val="24"/>
          <w:szCs w:val="24"/>
          <w:rtl/>
        </w:rPr>
        <w:t>ו'</w:t>
      </w:r>
      <w:r w:rsidR="00C14E19">
        <w:rPr>
          <w:rFonts w:ascii="David" w:hAnsi="David" w:cs="David"/>
          <w:b/>
          <w:bCs/>
          <w:sz w:val="24"/>
          <w:szCs w:val="24"/>
          <w:rtl/>
        </w:rPr>
        <w:t>. בגלל שהוא הרגיש שהוא מחויב ל</w:t>
      </w:r>
      <w:r w:rsidR="000F5BF7">
        <w:rPr>
          <w:rFonts w:ascii="David" w:hAnsi="David" w:cs="David"/>
          <w:b/>
          <w:bCs/>
          <w:sz w:val="24"/>
          <w:szCs w:val="24"/>
          <w:rtl/>
        </w:rPr>
        <w:t>ו'</w:t>
      </w:r>
      <w:r>
        <w:rPr>
          <w:rFonts w:ascii="David" w:hAnsi="David" w:cs="David"/>
          <w:b/>
          <w:bCs/>
          <w:sz w:val="24"/>
          <w:szCs w:val="24"/>
          <w:rtl/>
        </w:rPr>
        <w:t xml:space="preserve"> עוד הרבה. ש: מי אמר לך את זה? ת: כשהייתי אצלו בפעם </w:t>
      </w:r>
      <w:proofErr w:type="spellStart"/>
      <w:r>
        <w:rPr>
          <w:rFonts w:ascii="David" w:hAnsi="David" w:cs="David"/>
          <w:b/>
          <w:bCs/>
          <w:sz w:val="24"/>
          <w:szCs w:val="24"/>
          <w:rtl/>
        </w:rPr>
        <w:t>השניה</w:t>
      </w:r>
      <w:proofErr w:type="spellEnd"/>
      <w:r>
        <w:rPr>
          <w:rFonts w:ascii="David" w:hAnsi="David" w:cs="David"/>
          <w:b/>
          <w:bCs/>
          <w:sz w:val="24"/>
          <w:szCs w:val="24"/>
          <w:rtl/>
        </w:rPr>
        <w:t xml:space="preserve">. ש: בפעם </w:t>
      </w:r>
      <w:proofErr w:type="spellStart"/>
      <w:r>
        <w:rPr>
          <w:rFonts w:ascii="David" w:hAnsi="David" w:cs="David"/>
          <w:b/>
          <w:bCs/>
          <w:sz w:val="24"/>
          <w:szCs w:val="24"/>
          <w:rtl/>
        </w:rPr>
        <w:t>השניה</w:t>
      </w:r>
      <w:proofErr w:type="spellEnd"/>
      <w:r>
        <w:rPr>
          <w:rFonts w:ascii="David" w:hAnsi="David" w:cs="David"/>
          <w:b/>
          <w:bCs/>
          <w:sz w:val="24"/>
          <w:szCs w:val="24"/>
          <w:rtl/>
        </w:rPr>
        <w:t>? ת: כן. בפעם השלישית בעצם. בפעם האחרונה הוא</w:t>
      </w:r>
      <w:r w:rsidR="00C14E19">
        <w:rPr>
          <w:rFonts w:ascii="David" w:hAnsi="David" w:cs="David"/>
          <w:b/>
          <w:bCs/>
          <w:sz w:val="24"/>
          <w:szCs w:val="24"/>
          <w:rtl/>
        </w:rPr>
        <w:t xml:space="preserve"> אמר לי שהוא רוצה את </w:t>
      </w:r>
      <w:proofErr w:type="spellStart"/>
      <w:r w:rsidR="00C14E19">
        <w:rPr>
          <w:rFonts w:ascii="David" w:hAnsi="David" w:cs="David"/>
          <w:b/>
          <w:bCs/>
          <w:sz w:val="24"/>
          <w:szCs w:val="24"/>
          <w:rtl/>
        </w:rPr>
        <w:t>הכל</w:t>
      </w:r>
      <w:proofErr w:type="spellEnd"/>
      <w:r w:rsidR="00C14E19">
        <w:rPr>
          <w:rFonts w:ascii="David" w:hAnsi="David" w:cs="David"/>
          <w:b/>
          <w:bCs/>
          <w:sz w:val="24"/>
          <w:szCs w:val="24"/>
          <w:rtl/>
        </w:rPr>
        <w:t xml:space="preserve"> בגלל </w:t>
      </w:r>
      <w:proofErr w:type="spellStart"/>
      <w:r w:rsidR="00C14E19">
        <w:rPr>
          <w:rFonts w:ascii="David" w:hAnsi="David" w:cs="David"/>
          <w:b/>
          <w:bCs/>
          <w:sz w:val="24"/>
          <w:szCs w:val="24"/>
          <w:rtl/>
        </w:rPr>
        <w:t>ש</w:t>
      </w:r>
      <w:r w:rsidR="000F5BF7">
        <w:rPr>
          <w:rFonts w:ascii="David" w:hAnsi="David" w:cs="David"/>
          <w:b/>
          <w:bCs/>
          <w:sz w:val="24"/>
          <w:szCs w:val="24"/>
          <w:rtl/>
        </w:rPr>
        <w:t>ו</w:t>
      </w:r>
      <w:proofErr w:type="spellEnd"/>
      <w:r w:rsidR="000F5BF7">
        <w:rPr>
          <w:rFonts w:ascii="David" w:hAnsi="David" w:cs="David"/>
          <w:b/>
          <w:bCs/>
          <w:sz w:val="24"/>
          <w:szCs w:val="24"/>
          <w:rtl/>
        </w:rPr>
        <w:t>'</w:t>
      </w:r>
      <w:r>
        <w:rPr>
          <w:rFonts w:ascii="David" w:hAnsi="David" w:cs="David"/>
          <w:b/>
          <w:bCs/>
          <w:sz w:val="24"/>
          <w:szCs w:val="24"/>
          <w:rtl/>
        </w:rPr>
        <w:t xml:space="preserve"> עשה לו הרבה טוב." </w:t>
      </w:r>
      <w:r>
        <w:rPr>
          <w:rFonts w:ascii="David" w:hAnsi="David" w:cs="David"/>
          <w:sz w:val="24"/>
          <w:szCs w:val="24"/>
          <w:rtl/>
        </w:rPr>
        <w:t xml:space="preserve">(פרוט' דיון עמ' 16, ש' 18-24), </w:t>
      </w:r>
    </w:p>
    <w:p w:rsidR="00457B60" w:rsidRDefault="00457B60" w:rsidP="00457B60">
      <w:pPr>
        <w:pStyle w:val="af2"/>
        <w:spacing w:after="120" w:line="360" w:lineRule="auto"/>
        <w:ind w:left="566" w:right="709" w:hanging="567"/>
        <w:contextualSpacing w:val="0"/>
        <w:jc w:val="both"/>
        <w:rPr>
          <w:rFonts w:ascii="David" w:hAnsi="David" w:cs="David"/>
          <w:b/>
          <w:bCs/>
          <w:sz w:val="24"/>
          <w:szCs w:val="24"/>
          <w:highlight w:val="yellow"/>
          <w:rtl/>
        </w:rPr>
      </w:pPr>
      <w:r>
        <w:rPr>
          <w:rFonts w:ascii="David" w:hAnsi="David" w:cs="David"/>
          <w:sz w:val="24"/>
          <w:szCs w:val="24"/>
          <w:rtl/>
        </w:rPr>
        <w:tab/>
        <w:t xml:space="preserve">וכן: </w:t>
      </w:r>
      <w:r>
        <w:rPr>
          <w:rFonts w:ascii="David" w:hAnsi="David" w:cs="David"/>
          <w:b/>
          <w:bCs/>
          <w:sz w:val="24"/>
          <w:szCs w:val="24"/>
          <w:rtl/>
        </w:rPr>
        <w:t xml:space="preserve">"ת: [...] אני לא יכול להעיד למה הוא שינה. אבל אני יכול להעיד שמצבו היה כל כך רגיש וכל כך התחשב בבן שלו שעזב את עבודתו ושירת אותו כל הזמן." </w:t>
      </w:r>
      <w:r>
        <w:rPr>
          <w:rFonts w:ascii="David" w:hAnsi="David" w:cs="David"/>
          <w:sz w:val="24"/>
          <w:szCs w:val="24"/>
          <w:rtl/>
        </w:rPr>
        <w:t>(פרוט' דיון עמ' 17, ש' 3-5),</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sz w:val="24"/>
          <w:szCs w:val="24"/>
          <w:rtl/>
        </w:rPr>
        <w:tab/>
        <w:t xml:space="preserve">וכן: </w:t>
      </w:r>
      <w:r>
        <w:rPr>
          <w:rFonts w:ascii="David" w:hAnsi="David" w:cs="David"/>
          <w:b/>
          <w:bCs/>
          <w:sz w:val="24"/>
          <w:szCs w:val="24"/>
          <w:rtl/>
        </w:rPr>
        <w:t xml:space="preserve">ש: ספר לי על השיחה שהייתה שם. שאלת אותו "מדוע אתה רוצה לשנות, ת: כן, שאלתי אותו, ש: טוב ויפה, ת: שאלתי אותו מה קרה, [...] ת: נכון. אז הוא אמר לי בצורה מפורשת שהבן שלו עזב </w:t>
      </w:r>
      <w:r>
        <w:rPr>
          <w:rFonts w:ascii="David" w:hAnsi="David" w:cs="David"/>
          <w:b/>
          <w:bCs/>
          <w:sz w:val="24"/>
          <w:szCs w:val="24"/>
          <w:rtl/>
        </w:rPr>
        <w:lastRenderedPageBreak/>
        <w:t xml:space="preserve">את העבודה שלו. יש לו ילדים קטנים בבית. הוא לא, ש: כן. ת: לא מתפרנס. והוא רוצה, הוא רצה להיטיב לו עוד יותר עם הצוואה הראשונה." </w:t>
      </w:r>
      <w:r>
        <w:rPr>
          <w:rFonts w:ascii="David" w:hAnsi="David" w:cs="David"/>
          <w:sz w:val="24"/>
          <w:szCs w:val="24"/>
          <w:rtl/>
        </w:rPr>
        <w:t>(פרוט' דיון עמ' 17, ש' 26-39),</w:t>
      </w:r>
      <w:r>
        <w:rPr>
          <w:rFonts w:ascii="David" w:hAnsi="David" w:cs="David"/>
          <w:sz w:val="24"/>
          <w:szCs w:val="24"/>
        </w:rPr>
        <w:t xml:space="preserve"> </w:t>
      </w:r>
    </w:p>
    <w:p w:rsidR="00457B60" w:rsidRDefault="00457B60" w:rsidP="00457B60">
      <w:pPr>
        <w:pStyle w:val="af2"/>
        <w:numPr>
          <w:ilvl w:val="0"/>
          <w:numId w:val="4"/>
        </w:numPr>
        <w:spacing w:after="120" w:line="360" w:lineRule="auto"/>
        <w:ind w:left="566" w:hanging="567"/>
        <w:contextualSpacing w:val="0"/>
        <w:jc w:val="both"/>
        <w:rPr>
          <w:rFonts w:ascii="David" w:hAnsi="David" w:cs="David"/>
          <w:sz w:val="24"/>
          <w:szCs w:val="24"/>
        </w:rPr>
      </w:pPr>
      <w:r>
        <w:rPr>
          <w:rFonts w:ascii="David" w:hAnsi="David" w:cs="David"/>
          <w:sz w:val="24"/>
          <w:szCs w:val="24"/>
          <w:rtl/>
        </w:rPr>
        <w:t xml:space="preserve">ראו למשל, העיד מר </w:t>
      </w:r>
      <w:r w:rsidR="000F5BF7">
        <w:rPr>
          <w:rFonts w:ascii="David" w:hAnsi="David" w:cs="David"/>
          <w:sz w:val="24"/>
          <w:szCs w:val="24"/>
          <w:rtl/>
        </w:rPr>
        <w:t>ר'</w:t>
      </w:r>
      <w:r>
        <w:rPr>
          <w:rFonts w:ascii="David" w:hAnsi="David" w:cs="David"/>
          <w:sz w:val="24"/>
          <w:szCs w:val="24"/>
          <w:rtl/>
        </w:rPr>
        <w:t xml:space="preserve"> ביחס לרצונו החופשי של המנוח </w:t>
      </w:r>
      <w:proofErr w:type="spellStart"/>
      <w:r>
        <w:rPr>
          <w:rFonts w:ascii="David" w:hAnsi="David" w:cs="David"/>
          <w:sz w:val="24"/>
          <w:szCs w:val="24"/>
          <w:rtl/>
        </w:rPr>
        <w:t>וגמירות</w:t>
      </w:r>
      <w:proofErr w:type="spellEnd"/>
      <w:r>
        <w:rPr>
          <w:rFonts w:ascii="David" w:hAnsi="David" w:cs="David"/>
          <w:sz w:val="24"/>
          <w:szCs w:val="24"/>
          <w:rtl/>
        </w:rPr>
        <w:t xml:space="preserve"> דעתו, כדלקמן:</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b/>
          <w:bCs/>
          <w:sz w:val="24"/>
          <w:szCs w:val="24"/>
          <w:rtl/>
        </w:rPr>
        <w:tab/>
        <w:t xml:space="preserve">"ש: אבל בגלל זה גם כנראה שהוא שינה צוואה שלישית. ת: יכול להיות. ש: יכול להיות. ואתה בתור עורך דין מקצועי לא חשבת שמן הנכון לבדוק את הרצון </w:t>
      </w:r>
      <w:proofErr w:type="spellStart"/>
      <w:r>
        <w:rPr>
          <w:rFonts w:ascii="David" w:hAnsi="David" w:cs="David"/>
          <w:b/>
          <w:bCs/>
          <w:sz w:val="24"/>
          <w:szCs w:val="24"/>
          <w:rtl/>
        </w:rPr>
        <w:t>האמיתי</w:t>
      </w:r>
      <w:proofErr w:type="spellEnd"/>
      <w:r>
        <w:rPr>
          <w:rFonts w:ascii="David" w:hAnsi="David" w:cs="David"/>
          <w:b/>
          <w:bCs/>
          <w:sz w:val="24"/>
          <w:szCs w:val="24"/>
          <w:rtl/>
        </w:rPr>
        <w:t xml:space="preserve"> ללא קשר לכעס או עלבון נקודתי של אירוע חד פעמי. ת: אני בדקתי ברגע שהוא אמר לי מה שהוא אמר, אם הוא באמת מבין מה שהוא אומר, וזהו, ש: אבל אתה גם קושר בין הצוואה השלישית לבין העלבון והכעס שלו. ככה סיפרת לפחות. ת: סיפרתי, באחד המקרים סיפר לי את המקרה. ש: כן, הבנתי. ת: זה נוגע ללב." </w:t>
      </w:r>
      <w:r>
        <w:rPr>
          <w:rFonts w:ascii="David" w:hAnsi="David" w:cs="David"/>
          <w:sz w:val="24"/>
          <w:szCs w:val="24"/>
          <w:rtl/>
        </w:rPr>
        <w:t>(פרוט' דיון עמ' 27 ש' 16-26),</w:t>
      </w:r>
    </w:p>
    <w:p w:rsidR="00457B60" w:rsidRDefault="00457B60" w:rsidP="00457B60">
      <w:pPr>
        <w:pStyle w:val="af2"/>
        <w:spacing w:after="120" w:line="360" w:lineRule="auto"/>
        <w:ind w:left="566" w:right="709" w:hanging="567"/>
        <w:contextualSpacing w:val="0"/>
        <w:jc w:val="both"/>
        <w:rPr>
          <w:rFonts w:ascii="David" w:hAnsi="David" w:cs="David"/>
          <w:sz w:val="24"/>
          <w:szCs w:val="24"/>
          <w:rtl/>
        </w:rPr>
      </w:pPr>
      <w:r>
        <w:rPr>
          <w:rFonts w:ascii="David" w:hAnsi="David" w:cs="David"/>
          <w:sz w:val="24"/>
          <w:szCs w:val="24"/>
          <w:rtl/>
        </w:rPr>
        <w:tab/>
        <w:t>וכן:</w:t>
      </w:r>
      <w:r>
        <w:rPr>
          <w:rFonts w:ascii="David" w:hAnsi="David" w:cs="David"/>
          <w:b/>
          <w:bCs/>
          <w:sz w:val="24"/>
          <w:szCs w:val="24"/>
          <w:rtl/>
        </w:rPr>
        <w:t xml:space="preserve"> </w:t>
      </w:r>
      <w:r>
        <w:rPr>
          <w:rFonts w:ascii="David" w:hAnsi="David" w:cs="David"/>
          <w:sz w:val="24"/>
          <w:szCs w:val="24"/>
          <w:rtl/>
        </w:rPr>
        <w:t>"</w:t>
      </w:r>
      <w:r>
        <w:rPr>
          <w:rFonts w:ascii="David" w:hAnsi="David" w:cs="David"/>
          <w:b/>
          <w:bCs/>
          <w:sz w:val="24"/>
          <w:szCs w:val="24"/>
          <w:rtl/>
        </w:rPr>
        <w:t xml:space="preserve">ש: מר </w:t>
      </w:r>
      <w:r w:rsidR="000F5BF7">
        <w:rPr>
          <w:rFonts w:ascii="David" w:hAnsi="David" w:cs="David"/>
          <w:b/>
          <w:bCs/>
          <w:sz w:val="24"/>
          <w:szCs w:val="24"/>
          <w:rtl/>
        </w:rPr>
        <w:t>ר'</w:t>
      </w:r>
      <w:r>
        <w:rPr>
          <w:rFonts w:ascii="David" w:hAnsi="David" w:cs="David"/>
          <w:b/>
          <w:bCs/>
          <w:sz w:val="24"/>
          <w:szCs w:val="24"/>
          <w:rtl/>
        </w:rPr>
        <w:t xml:space="preserve">, האם אתה יכול היום בפני בית המשפט הנכבד להעיד שהצוואה השלישית נשוא הדיון, כשאתה ערכת אותה מול המנוח, נכון לאותו מועד הוא היה צלול, כשיר לחתום על צוואה, ידע בוודאות את פרטי הצוואה, והאם חתם עליה מרצונו הטוב, לא האם החתם, האם מה שהוא אמר לך לגבי הצוואה היה מרצונו הטוב והחופשי? ת: אני מאשר. חוץ מעניין החתימה שאני לא הייתי שם. ש: אבל במעמד שקיבלת את הצוואה, ת: עד כמה שאני הבנתי, הבנתי שהוא אדם צלול ויודע מה הוא רוצה." </w:t>
      </w:r>
      <w:r>
        <w:rPr>
          <w:rFonts w:ascii="David" w:hAnsi="David" w:cs="David"/>
          <w:sz w:val="24"/>
          <w:szCs w:val="24"/>
          <w:rtl/>
        </w:rPr>
        <w:t>(פרוט' דיון עמ' 27-28, ש' 38-6),</w:t>
      </w:r>
    </w:p>
    <w:p w:rsidR="00457B60" w:rsidRDefault="00457B60" w:rsidP="00457B60">
      <w:pPr>
        <w:pStyle w:val="af2"/>
        <w:numPr>
          <w:ilvl w:val="0"/>
          <w:numId w:val="4"/>
        </w:numPr>
        <w:tabs>
          <w:tab w:val="left" w:pos="8164"/>
        </w:tabs>
        <w:spacing w:after="120" w:line="360" w:lineRule="auto"/>
        <w:ind w:left="566" w:hanging="567"/>
        <w:contextualSpacing w:val="0"/>
        <w:jc w:val="both"/>
        <w:rPr>
          <w:rFonts w:ascii="David" w:hAnsi="David" w:cs="David"/>
          <w:sz w:val="24"/>
          <w:szCs w:val="24"/>
        </w:rPr>
      </w:pPr>
      <w:r>
        <w:rPr>
          <w:rFonts w:ascii="David" w:hAnsi="David" w:cs="David"/>
          <w:sz w:val="24"/>
          <w:szCs w:val="24"/>
          <w:rtl/>
        </w:rPr>
        <w:t xml:space="preserve">ברור ומובהק כי עדותו של העד </w:t>
      </w:r>
      <w:r w:rsidR="000F5BF7">
        <w:rPr>
          <w:rFonts w:ascii="David" w:hAnsi="David" w:cs="David"/>
          <w:sz w:val="24"/>
          <w:szCs w:val="24"/>
          <w:rtl/>
        </w:rPr>
        <w:t>ר'</w:t>
      </w:r>
      <w:r>
        <w:rPr>
          <w:rFonts w:ascii="David" w:hAnsi="David" w:cs="David"/>
          <w:sz w:val="24"/>
          <w:szCs w:val="24"/>
          <w:rtl/>
        </w:rPr>
        <w:t xml:space="preserve"> כולה, ולמצער עיקרה, התייחסה לתקופה שסבבה סביב עשייתן וחתימתן של הצוואות, שכאמור נעשו כולן סביב שנות ה-80', בהיותו עורך דין בתחילת דרכו. </w:t>
      </w:r>
    </w:p>
    <w:p w:rsidR="00457B60" w:rsidRDefault="00457B60" w:rsidP="00C14E19">
      <w:pPr>
        <w:pStyle w:val="af2"/>
        <w:tabs>
          <w:tab w:val="left" w:pos="8164"/>
        </w:tabs>
        <w:spacing w:after="120" w:line="360" w:lineRule="auto"/>
        <w:ind w:left="566" w:hanging="567"/>
        <w:contextualSpacing w:val="0"/>
        <w:jc w:val="both"/>
        <w:rPr>
          <w:rFonts w:ascii="David" w:hAnsi="David" w:cs="David"/>
          <w:b/>
          <w:bCs/>
          <w:sz w:val="24"/>
          <w:szCs w:val="24"/>
          <w:lang w:eastAsia="he-IL"/>
        </w:rPr>
      </w:pPr>
      <w:r>
        <w:rPr>
          <w:rFonts w:ascii="David" w:hAnsi="David" w:cs="David"/>
          <w:sz w:val="24"/>
          <w:szCs w:val="24"/>
          <w:rtl/>
        </w:rPr>
        <w:tab/>
        <w:t xml:space="preserve">במכתב מיום 29.01.2002 פונה מר </w:t>
      </w:r>
      <w:r w:rsidR="000F5BF7">
        <w:rPr>
          <w:rFonts w:ascii="David" w:hAnsi="David" w:cs="David"/>
          <w:sz w:val="24"/>
          <w:szCs w:val="24"/>
          <w:rtl/>
        </w:rPr>
        <w:t>ר'</w:t>
      </w:r>
      <w:r w:rsidR="00C14E19">
        <w:rPr>
          <w:rFonts w:ascii="David" w:hAnsi="David" w:cs="David"/>
          <w:sz w:val="24"/>
          <w:szCs w:val="24"/>
          <w:rtl/>
        </w:rPr>
        <w:t xml:space="preserve"> אל הבוררים בשם </w:t>
      </w:r>
      <w:proofErr w:type="spellStart"/>
      <w:r w:rsidR="00C14E19">
        <w:rPr>
          <w:rFonts w:ascii="David" w:hAnsi="David" w:cs="David"/>
          <w:sz w:val="24"/>
          <w:szCs w:val="24"/>
          <w:rtl/>
        </w:rPr>
        <w:t>מרשו</w:t>
      </w:r>
      <w:proofErr w:type="spellEnd"/>
      <w:r w:rsidR="00C14E19">
        <w:rPr>
          <w:rFonts w:ascii="David" w:hAnsi="David" w:cs="David"/>
          <w:sz w:val="24"/>
          <w:szCs w:val="24"/>
          <w:rtl/>
        </w:rPr>
        <w:t xml:space="preserve"> </w:t>
      </w:r>
      <w:r w:rsidR="000F5BF7">
        <w:rPr>
          <w:rFonts w:ascii="David" w:hAnsi="David" w:cs="David"/>
          <w:sz w:val="24"/>
          <w:szCs w:val="24"/>
          <w:rtl/>
        </w:rPr>
        <w:t>ו'</w:t>
      </w:r>
      <w:r>
        <w:rPr>
          <w:rFonts w:ascii="David" w:hAnsi="David" w:cs="David"/>
          <w:sz w:val="24"/>
          <w:szCs w:val="24"/>
          <w:rtl/>
        </w:rPr>
        <w:t xml:space="preserve">, ומבקש התייחסותם על מנת על מנת לדעת איך לייעץ </w:t>
      </w:r>
      <w:proofErr w:type="spellStart"/>
      <w:r>
        <w:rPr>
          <w:rFonts w:ascii="David" w:hAnsi="David" w:cs="David"/>
          <w:sz w:val="24"/>
          <w:szCs w:val="24"/>
          <w:rtl/>
        </w:rPr>
        <w:t>למרשו</w:t>
      </w:r>
      <w:proofErr w:type="spellEnd"/>
      <w:r>
        <w:rPr>
          <w:rFonts w:ascii="David" w:hAnsi="David" w:cs="David"/>
          <w:sz w:val="24"/>
          <w:szCs w:val="24"/>
          <w:rtl/>
        </w:rPr>
        <w:t xml:space="preserve"> בעניין פתרון הסכסוך בין האחים. בחקירה נשאל מר </w:t>
      </w:r>
      <w:r w:rsidR="000F5BF7">
        <w:rPr>
          <w:rFonts w:ascii="David" w:hAnsi="David" w:cs="David"/>
          <w:sz w:val="24"/>
          <w:szCs w:val="24"/>
          <w:rtl/>
        </w:rPr>
        <w:t>ר'</w:t>
      </w:r>
      <w:r>
        <w:rPr>
          <w:rFonts w:ascii="David" w:hAnsi="David" w:cs="David"/>
          <w:sz w:val="24"/>
          <w:szCs w:val="24"/>
          <w:rtl/>
        </w:rPr>
        <w:t xml:space="preserve"> כדלקמן: </w:t>
      </w:r>
      <w:r>
        <w:rPr>
          <w:rFonts w:ascii="David" w:hAnsi="David" w:cs="David"/>
          <w:b/>
          <w:bCs/>
          <w:sz w:val="24"/>
          <w:szCs w:val="24"/>
          <w:rtl/>
          <w:lang w:eastAsia="he-IL"/>
        </w:rPr>
        <w:t>"[...] עכשיו, אז אנחנו נדבר קצת מזיכרון. אני מבין שהמנוח לא היה לקוח שלך בעניינים אחרים.</w:t>
      </w:r>
      <w:r>
        <w:rPr>
          <w:rFonts w:ascii="David" w:hAnsi="David" w:cs="David"/>
          <w:b/>
          <w:bCs/>
          <w:sz w:val="24"/>
          <w:szCs w:val="24"/>
          <w:rtl/>
        </w:rPr>
        <w:t xml:space="preserve"> </w:t>
      </w:r>
      <w:r>
        <w:rPr>
          <w:rFonts w:ascii="David" w:hAnsi="David" w:cs="David"/>
          <w:b/>
          <w:bCs/>
          <w:sz w:val="24"/>
          <w:szCs w:val="24"/>
          <w:rtl/>
          <w:lang w:eastAsia="he-IL"/>
        </w:rPr>
        <w:t xml:space="preserve">ת: לא. ש: לא היה. </w:t>
      </w:r>
      <w:r w:rsidR="000F5BF7">
        <w:rPr>
          <w:rFonts w:ascii="David" w:hAnsi="David" w:cs="David"/>
          <w:b/>
          <w:bCs/>
          <w:sz w:val="24"/>
          <w:szCs w:val="24"/>
          <w:u w:val="single"/>
          <w:rtl/>
          <w:lang w:eastAsia="he-IL"/>
        </w:rPr>
        <w:t>ו'</w:t>
      </w:r>
      <w:r>
        <w:rPr>
          <w:rFonts w:ascii="David" w:hAnsi="David" w:cs="David"/>
          <w:b/>
          <w:bCs/>
          <w:sz w:val="24"/>
          <w:szCs w:val="24"/>
          <w:u w:val="single"/>
          <w:rtl/>
          <w:lang w:eastAsia="he-IL"/>
        </w:rPr>
        <w:t xml:space="preserve"> עצמו היה לקוח שלך בעניינים אחרים?</w:t>
      </w:r>
      <w:r>
        <w:rPr>
          <w:rFonts w:ascii="David" w:hAnsi="David" w:cs="David"/>
          <w:b/>
          <w:bCs/>
          <w:sz w:val="24"/>
          <w:szCs w:val="24"/>
          <w:u w:val="single"/>
          <w:rtl/>
        </w:rPr>
        <w:t xml:space="preserve"> </w:t>
      </w:r>
      <w:r>
        <w:rPr>
          <w:rFonts w:ascii="David" w:hAnsi="David" w:cs="David"/>
          <w:b/>
          <w:bCs/>
          <w:sz w:val="24"/>
          <w:szCs w:val="24"/>
          <w:u w:val="single"/>
          <w:rtl/>
          <w:lang w:eastAsia="he-IL"/>
        </w:rPr>
        <w:t>ת: גם לא.</w:t>
      </w:r>
      <w:r>
        <w:rPr>
          <w:rFonts w:ascii="David" w:hAnsi="David" w:cs="David"/>
          <w:b/>
          <w:bCs/>
          <w:sz w:val="24"/>
          <w:szCs w:val="24"/>
          <w:u w:val="single"/>
          <w:rtl/>
        </w:rPr>
        <w:t xml:space="preserve"> </w:t>
      </w:r>
      <w:r w:rsidR="00C14E19">
        <w:rPr>
          <w:rFonts w:ascii="David" w:hAnsi="David" w:cs="David"/>
          <w:b/>
          <w:bCs/>
          <w:sz w:val="24"/>
          <w:szCs w:val="24"/>
          <w:u w:val="single"/>
          <w:rtl/>
          <w:lang w:eastAsia="he-IL"/>
        </w:rPr>
        <w:t xml:space="preserve">ש: גם לא. אז </w:t>
      </w:r>
      <w:r w:rsidR="000F5BF7">
        <w:rPr>
          <w:rFonts w:ascii="David" w:hAnsi="David" w:cs="David"/>
          <w:b/>
          <w:bCs/>
          <w:sz w:val="24"/>
          <w:szCs w:val="24"/>
          <w:u w:val="single"/>
          <w:rtl/>
          <w:lang w:eastAsia="he-IL"/>
        </w:rPr>
        <w:t>ו'</w:t>
      </w:r>
      <w:r>
        <w:rPr>
          <w:rFonts w:ascii="David" w:hAnsi="David" w:cs="David"/>
          <w:b/>
          <w:bCs/>
          <w:sz w:val="24"/>
          <w:szCs w:val="24"/>
          <w:u w:val="single"/>
          <w:rtl/>
          <w:lang w:eastAsia="he-IL"/>
        </w:rPr>
        <w:t xml:space="preserve"> בא יום אחד אליך ואמר לך "אתה עורך דין חדש בכפר. אבא שלי רוצה לעשות צוואה. תבוא אליו הביתה</w:t>
      </w:r>
      <w:r>
        <w:rPr>
          <w:rFonts w:ascii="David" w:hAnsi="David" w:cs="David"/>
          <w:b/>
          <w:bCs/>
          <w:sz w:val="24"/>
          <w:szCs w:val="24"/>
          <w:rtl/>
          <w:lang w:eastAsia="he-IL"/>
        </w:rPr>
        <w:t>". הלכת ועשית.</w:t>
      </w:r>
      <w:r>
        <w:rPr>
          <w:rFonts w:ascii="David" w:hAnsi="David" w:cs="David"/>
          <w:b/>
          <w:bCs/>
          <w:sz w:val="24"/>
          <w:szCs w:val="24"/>
          <w:rtl/>
        </w:rPr>
        <w:t xml:space="preserve"> </w:t>
      </w:r>
      <w:r>
        <w:rPr>
          <w:rFonts w:ascii="David" w:hAnsi="David" w:cs="David"/>
          <w:b/>
          <w:bCs/>
          <w:sz w:val="24"/>
          <w:szCs w:val="24"/>
          <w:rtl/>
          <w:lang w:eastAsia="he-IL"/>
        </w:rPr>
        <w:t>ת: זה נכו</w:t>
      </w:r>
      <w:r w:rsidR="00C14E19">
        <w:rPr>
          <w:rFonts w:ascii="David" w:hAnsi="David" w:cs="David"/>
          <w:b/>
          <w:bCs/>
          <w:sz w:val="24"/>
          <w:szCs w:val="24"/>
          <w:rtl/>
          <w:lang w:eastAsia="he-IL"/>
        </w:rPr>
        <w:t>ן, דווקא אני חיפשתי תיקים</w:t>
      </w:r>
      <w:r w:rsidR="00C14E19">
        <w:rPr>
          <w:rFonts w:ascii="David" w:hAnsi="David" w:cs="David" w:hint="cs"/>
          <w:b/>
          <w:bCs/>
          <w:sz w:val="24"/>
          <w:szCs w:val="24"/>
          <w:rtl/>
          <w:lang w:eastAsia="he-IL"/>
        </w:rPr>
        <w:t xml:space="preserve"> ...</w:t>
      </w:r>
      <w:r>
        <w:rPr>
          <w:rFonts w:ascii="David" w:hAnsi="David" w:cs="David"/>
          <w:b/>
          <w:bCs/>
          <w:sz w:val="24"/>
          <w:szCs w:val="24"/>
          <w:rtl/>
          <w:lang w:eastAsia="he-IL"/>
        </w:rPr>
        <w:t>"</w:t>
      </w:r>
      <w:r>
        <w:rPr>
          <w:rFonts w:ascii="David" w:hAnsi="David" w:cs="David"/>
          <w:sz w:val="24"/>
          <w:szCs w:val="24"/>
          <w:rtl/>
          <w:lang w:eastAsia="he-IL"/>
        </w:rPr>
        <w:t>.</w:t>
      </w:r>
      <w:r>
        <w:rPr>
          <w:rFonts w:ascii="David" w:hAnsi="David" w:cs="David"/>
          <w:b/>
          <w:bCs/>
          <w:sz w:val="24"/>
          <w:szCs w:val="24"/>
          <w:rtl/>
          <w:lang w:eastAsia="he-IL"/>
        </w:rPr>
        <w:t xml:space="preserve"> </w:t>
      </w:r>
    </w:p>
    <w:p w:rsidR="00457B60" w:rsidRDefault="00457B60" w:rsidP="00C14E19">
      <w:pPr>
        <w:pStyle w:val="af2"/>
        <w:numPr>
          <w:ilvl w:val="0"/>
          <w:numId w:val="4"/>
        </w:numPr>
        <w:tabs>
          <w:tab w:val="left" w:pos="8164"/>
        </w:tabs>
        <w:spacing w:after="120" w:line="360" w:lineRule="auto"/>
        <w:ind w:left="566" w:hanging="567"/>
        <w:contextualSpacing w:val="0"/>
        <w:jc w:val="both"/>
        <w:rPr>
          <w:rFonts w:ascii="David" w:hAnsi="David" w:cs="David"/>
          <w:sz w:val="24"/>
          <w:szCs w:val="24"/>
          <w:rtl/>
        </w:rPr>
      </w:pPr>
      <w:r>
        <w:rPr>
          <w:rFonts w:ascii="David" w:hAnsi="David" w:cs="David"/>
          <w:sz w:val="24"/>
          <w:szCs w:val="24"/>
          <w:rtl/>
        </w:rPr>
        <w:t xml:space="preserve">להבנתי, השאלה בחקירה הנגדית התייחסה לשאלת הייצוג </w:t>
      </w:r>
      <w:r>
        <w:rPr>
          <w:rFonts w:ascii="David" w:hAnsi="David" w:cs="David"/>
          <w:sz w:val="24"/>
          <w:szCs w:val="24"/>
          <w:u w:val="single"/>
          <w:rtl/>
        </w:rPr>
        <w:t>עובר</w:t>
      </w:r>
      <w:r>
        <w:rPr>
          <w:rFonts w:ascii="David" w:hAnsi="David" w:cs="David"/>
          <w:sz w:val="24"/>
          <w:szCs w:val="24"/>
          <w:rtl/>
        </w:rPr>
        <w:t xml:space="preserve"> לעריכת הצוואות, כאשר היה מר </w:t>
      </w:r>
      <w:r w:rsidR="000F5BF7">
        <w:rPr>
          <w:rFonts w:ascii="David" w:hAnsi="David" w:cs="David"/>
          <w:sz w:val="24"/>
          <w:szCs w:val="24"/>
          <w:rtl/>
        </w:rPr>
        <w:t>ר'</w:t>
      </w:r>
      <w:r>
        <w:rPr>
          <w:rFonts w:ascii="David" w:hAnsi="David" w:cs="David"/>
          <w:sz w:val="24"/>
          <w:szCs w:val="24"/>
          <w:rtl/>
        </w:rPr>
        <w:t xml:space="preserve"> עורך דין צעיר, אז נשאל האם </w:t>
      </w:r>
      <w:r>
        <w:rPr>
          <w:rFonts w:ascii="David" w:hAnsi="David" w:cs="David"/>
          <w:sz w:val="24"/>
          <w:szCs w:val="24"/>
          <w:u w:val="single"/>
          <w:rtl/>
        </w:rPr>
        <w:t>קודם</w:t>
      </w:r>
      <w:r>
        <w:rPr>
          <w:rFonts w:ascii="David" w:hAnsi="David" w:cs="David"/>
          <w:sz w:val="24"/>
          <w:szCs w:val="24"/>
          <w:rtl/>
        </w:rPr>
        <w:t xml:space="preserve"> לערי</w:t>
      </w:r>
      <w:r w:rsidR="00C14E19">
        <w:rPr>
          <w:rFonts w:ascii="David" w:hAnsi="David" w:cs="David"/>
          <w:sz w:val="24"/>
          <w:szCs w:val="24"/>
          <w:rtl/>
        </w:rPr>
        <w:t xml:space="preserve">כת הצוואות ייצג את המנוח או את </w:t>
      </w:r>
      <w:r w:rsidR="000F5BF7">
        <w:rPr>
          <w:rFonts w:ascii="David" w:hAnsi="David" w:cs="David"/>
          <w:sz w:val="24"/>
          <w:szCs w:val="24"/>
          <w:rtl/>
        </w:rPr>
        <w:t>ו'</w:t>
      </w:r>
      <w:r>
        <w:rPr>
          <w:rFonts w:ascii="David" w:hAnsi="David" w:cs="David"/>
          <w:sz w:val="24"/>
          <w:szCs w:val="24"/>
          <w:rtl/>
        </w:rPr>
        <w:t xml:space="preserve">, ולשאלה זו השיב בשלילה. מסקנה זו עולה מתוך פרוטוקול הדיון עצמו: </w:t>
      </w:r>
      <w:r>
        <w:rPr>
          <w:rFonts w:ascii="David" w:hAnsi="David" w:cs="David"/>
          <w:b/>
          <w:bCs/>
          <w:sz w:val="24"/>
          <w:szCs w:val="24"/>
          <w:rtl/>
        </w:rPr>
        <w:t>"ש: פתחת משרד בנהריה.</w:t>
      </w:r>
      <w:r>
        <w:rPr>
          <w:rFonts w:ascii="David" w:hAnsi="David" w:cs="David"/>
          <w:sz w:val="24"/>
          <w:szCs w:val="24"/>
          <w:rtl/>
        </w:rPr>
        <w:t xml:space="preserve"> </w:t>
      </w:r>
      <w:r>
        <w:rPr>
          <w:rFonts w:ascii="David" w:hAnsi="David" w:cs="David"/>
          <w:b/>
          <w:bCs/>
          <w:sz w:val="24"/>
          <w:szCs w:val="24"/>
          <w:rtl/>
        </w:rPr>
        <w:t>ת: כן.</w:t>
      </w:r>
      <w:r>
        <w:rPr>
          <w:rFonts w:ascii="David" w:hAnsi="David" w:cs="David"/>
          <w:sz w:val="24"/>
          <w:szCs w:val="24"/>
          <w:rtl/>
        </w:rPr>
        <w:t xml:space="preserve"> </w:t>
      </w:r>
      <w:r w:rsidR="00C14E19">
        <w:rPr>
          <w:rFonts w:ascii="David" w:hAnsi="David" w:cs="David"/>
          <w:b/>
          <w:bCs/>
          <w:sz w:val="24"/>
          <w:szCs w:val="24"/>
          <w:rtl/>
        </w:rPr>
        <w:t>ש: וב</w:t>
      </w:r>
      <w:r w:rsidR="00C14E19">
        <w:rPr>
          <w:rFonts w:ascii="David" w:hAnsi="David" w:cs="David" w:hint="cs"/>
          <w:b/>
          <w:bCs/>
          <w:sz w:val="24"/>
          <w:szCs w:val="24"/>
          <w:rtl/>
        </w:rPr>
        <w:t>כפר ...</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rtl/>
        </w:rPr>
        <w:t xml:space="preserve">ת: זה לא חייב להיות </w:t>
      </w:r>
      <w:proofErr w:type="spellStart"/>
      <w:r>
        <w:rPr>
          <w:rFonts w:ascii="David" w:hAnsi="David" w:cs="David"/>
          <w:b/>
          <w:bCs/>
          <w:sz w:val="24"/>
          <w:szCs w:val="24"/>
          <w:rtl/>
        </w:rPr>
        <w:t>מייד</w:t>
      </w:r>
      <w:proofErr w:type="spellEnd"/>
      <w:r>
        <w:rPr>
          <w:rFonts w:ascii="David" w:hAnsi="David" w:cs="David"/>
          <w:b/>
          <w:bCs/>
          <w:sz w:val="24"/>
          <w:szCs w:val="24"/>
          <w:rtl/>
        </w:rPr>
        <w:t xml:space="preserve"> א</w:t>
      </w:r>
      <w:r w:rsidR="00C14E19">
        <w:rPr>
          <w:rFonts w:ascii="David" w:hAnsi="David" w:cs="David"/>
          <w:b/>
          <w:bCs/>
          <w:sz w:val="24"/>
          <w:szCs w:val="24"/>
          <w:rtl/>
        </w:rPr>
        <w:t>חרי שסיימתי. לא, ש: כן. וב</w:t>
      </w:r>
      <w:r w:rsidR="00C14E19">
        <w:rPr>
          <w:rFonts w:ascii="David" w:hAnsi="David" w:cs="David" w:hint="cs"/>
          <w:b/>
          <w:bCs/>
          <w:sz w:val="24"/>
          <w:szCs w:val="24"/>
          <w:rtl/>
        </w:rPr>
        <w:t>כפר...</w:t>
      </w:r>
      <w:r>
        <w:rPr>
          <w:rFonts w:ascii="David" w:hAnsi="David" w:cs="David"/>
          <w:b/>
          <w:bCs/>
          <w:sz w:val="24"/>
          <w:szCs w:val="24"/>
          <w:rtl/>
        </w:rPr>
        <w:t xml:space="preserve"> לא היה לך משרד.</w:t>
      </w:r>
      <w:r>
        <w:rPr>
          <w:rFonts w:ascii="David" w:hAnsi="David" w:cs="David"/>
          <w:sz w:val="24"/>
          <w:szCs w:val="24"/>
          <w:rtl/>
        </w:rPr>
        <w:t xml:space="preserve"> </w:t>
      </w:r>
      <w:r>
        <w:rPr>
          <w:rFonts w:ascii="David" w:hAnsi="David" w:cs="David"/>
          <w:b/>
          <w:bCs/>
          <w:sz w:val="24"/>
          <w:szCs w:val="24"/>
          <w:rtl/>
        </w:rPr>
        <w:t>ת: לא היה לי משרד.</w:t>
      </w:r>
      <w:r>
        <w:rPr>
          <w:rFonts w:ascii="David" w:hAnsi="David" w:cs="David"/>
          <w:sz w:val="24"/>
          <w:szCs w:val="24"/>
          <w:rtl/>
        </w:rPr>
        <w:t xml:space="preserve"> </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rtl/>
        </w:rPr>
        <w:t>ש: הבנתי. אוקי. עכשיו, מכ</w:t>
      </w:r>
      <w:r w:rsidR="00C14E19">
        <w:rPr>
          <w:rFonts w:ascii="David" w:hAnsi="David" w:cs="David"/>
          <w:b/>
          <w:bCs/>
          <w:sz w:val="24"/>
          <w:szCs w:val="24"/>
          <w:rtl/>
        </w:rPr>
        <w:t xml:space="preserve">יוון שלא היה לך משרד בכפר </w:t>
      </w:r>
      <w:r w:rsidR="00C14E19">
        <w:rPr>
          <w:rFonts w:ascii="David" w:hAnsi="David" w:cs="David" w:hint="cs"/>
          <w:b/>
          <w:bCs/>
          <w:sz w:val="24"/>
          <w:szCs w:val="24"/>
          <w:rtl/>
        </w:rPr>
        <w:t>...</w:t>
      </w:r>
      <w:r>
        <w:rPr>
          <w:rFonts w:ascii="David" w:hAnsi="David" w:cs="David"/>
          <w:b/>
          <w:bCs/>
          <w:sz w:val="24"/>
          <w:szCs w:val="24"/>
          <w:rtl/>
        </w:rPr>
        <w:t>, אתה אומר, אתה זוכר, עוד שאלה לפני זה. אין לך תיק היום של הלקוח הזה מלפני 40 שנה מן הסתם.</w:t>
      </w:r>
      <w:r>
        <w:rPr>
          <w:rFonts w:ascii="David" w:hAnsi="David" w:cs="David"/>
          <w:sz w:val="24"/>
          <w:szCs w:val="24"/>
          <w:rtl/>
        </w:rPr>
        <w:t xml:space="preserve"> </w:t>
      </w:r>
      <w:r>
        <w:rPr>
          <w:rFonts w:ascii="David" w:hAnsi="David" w:cs="David"/>
          <w:b/>
          <w:bCs/>
          <w:sz w:val="24"/>
          <w:szCs w:val="24"/>
          <w:rtl/>
        </w:rPr>
        <w:t xml:space="preserve">ת: חיפשתי ולא מצאתי. </w:t>
      </w:r>
      <w:r>
        <w:rPr>
          <w:rFonts w:ascii="David" w:hAnsi="David" w:cs="David"/>
          <w:b/>
          <w:bCs/>
          <w:sz w:val="24"/>
          <w:szCs w:val="24"/>
          <w:rtl/>
          <w:lang w:eastAsia="he-IL"/>
        </w:rPr>
        <w:t>ש: בסדר, אוקי. עכשיו, אז אנחנו נדבר קצת מזיכרון. אני מבין שהמנוח לא היה לקוח שלך בעניינים אחרים.</w:t>
      </w:r>
      <w:r>
        <w:rPr>
          <w:rFonts w:ascii="David" w:hAnsi="David" w:cs="David"/>
          <w:b/>
          <w:bCs/>
          <w:sz w:val="24"/>
          <w:szCs w:val="24"/>
          <w:rtl/>
        </w:rPr>
        <w:t xml:space="preserve"> </w:t>
      </w:r>
      <w:r w:rsidR="00C14E19">
        <w:rPr>
          <w:rFonts w:ascii="David" w:hAnsi="David" w:cs="David"/>
          <w:b/>
          <w:bCs/>
          <w:sz w:val="24"/>
          <w:szCs w:val="24"/>
          <w:rtl/>
          <w:lang w:eastAsia="he-IL"/>
        </w:rPr>
        <w:t xml:space="preserve">ת: לא. ש: לא היה. </w:t>
      </w:r>
      <w:r w:rsidR="000F5BF7">
        <w:rPr>
          <w:rFonts w:ascii="David" w:hAnsi="David" w:cs="David"/>
          <w:b/>
          <w:bCs/>
          <w:sz w:val="24"/>
          <w:szCs w:val="24"/>
          <w:rtl/>
          <w:lang w:eastAsia="he-IL"/>
        </w:rPr>
        <w:t>ו'</w:t>
      </w:r>
      <w:r>
        <w:rPr>
          <w:rFonts w:ascii="David" w:hAnsi="David" w:cs="David"/>
          <w:b/>
          <w:bCs/>
          <w:sz w:val="24"/>
          <w:szCs w:val="24"/>
          <w:rtl/>
          <w:lang w:eastAsia="he-IL"/>
        </w:rPr>
        <w:t xml:space="preserve"> עצמו היה לקוח שלך בעניינים אחרים?</w:t>
      </w:r>
      <w:r>
        <w:rPr>
          <w:rFonts w:ascii="David" w:hAnsi="David" w:cs="David"/>
          <w:b/>
          <w:bCs/>
          <w:sz w:val="24"/>
          <w:szCs w:val="24"/>
          <w:rtl/>
        </w:rPr>
        <w:t xml:space="preserve"> </w:t>
      </w:r>
      <w:r>
        <w:rPr>
          <w:rFonts w:ascii="David" w:hAnsi="David" w:cs="David"/>
          <w:b/>
          <w:bCs/>
          <w:sz w:val="24"/>
          <w:szCs w:val="24"/>
          <w:rtl/>
          <w:lang w:eastAsia="he-IL"/>
        </w:rPr>
        <w:t>ת: גם לא.</w:t>
      </w:r>
      <w:r>
        <w:rPr>
          <w:rFonts w:ascii="David" w:hAnsi="David" w:cs="David"/>
          <w:b/>
          <w:bCs/>
          <w:sz w:val="24"/>
          <w:szCs w:val="24"/>
          <w:rtl/>
        </w:rPr>
        <w:t xml:space="preserve"> </w:t>
      </w:r>
      <w:r>
        <w:rPr>
          <w:rFonts w:ascii="David" w:hAnsi="David" w:cs="David"/>
          <w:b/>
          <w:bCs/>
          <w:sz w:val="24"/>
          <w:szCs w:val="24"/>
          <w:rtl/>
          <w:lang w:eastAsia="he-IL"/>
        </w:rPr>
        <w:t>ש: גם לא.</w:t>
      </w:r>
      <w:r w:rsidR="00C14E19">
        <w:rPr>
          <w:rFonts w:ascii="David" w:hAnsi="David" w:cs="David"/>
          <w:b/>
          <w:bCs/>
          <w:sz w:val="24"/>
          <w:szCs w:val="24"/>
          <w:rtl/>
          <w:lang w:eastAsia="he-IL"/>
        </w:rPr>
        <w:t xml:space="preserve"> אז </w:t>
      </w:r>
      <w:r w:rsidR="000F5BF7">
        <w:rPr>
          <w:rFonts w:ascii="David" w:hAnsi="David" w:cs="David"/>
          <w:b/>
          <w:bCs/>
          <w:sz w:val="24"/>
          <w:szCs w:val="24"/>
          <w:rtl/>
          <w:lang w:eastAsia="he-IL"/>
        </w:rPr>
        <w:t>ו'</w:t>
      </w:r>
      <w:r>
        <w:rPr>
          <w:rFonts w:ascii="David" w:hAnsi="David" w:cs="David"/>
          <w:b/>
          <w:bCs/>
          <w:sz w:val="24"/>
          <w:szCs w:val="24"/>
          <w:rtl/>
          <w:lang w:eastAsia="he-IL"/>
        </w:rPr>
        <w:t xml:space="preserve"> בא יום אחד אליך ואמר לך "אתה עורך דין חדש בכפר. אבא </w:t>
      </w:r>
      <w:r>
        <w:rPr>
          <w:rFonts w:ascii="David" w:hAnsi="David" w:cs="David"/>
          <w:b/>
          <w:bCs/>
          <w:sz w:val="24"/>
          <w:szCs w:val="24"/>
          <w:rtl/>
          <w:lang w:eastAsia="he-IL"/>
        </w:rPr>
        <w:lastRenderedPageBreak/>
        <w:t>שלי רוצה לעשות צוואה. תבוא אליו הביתה". הלכת ועשית.</w:t>
      </w:r>
      <w:r>
        <w:rPr>
          <w:rFonts w:ascii="David" w:hAnsi="David" w:cs="David"/>
          <w:b/>
          <w:bCs/>
          <w:sz w:val="24"/>
          <w:szCs w:val="24"/>
          <w:rtl/>
        </w:rPr>
        <w:t xml:space="preserve"> </w:t>
      </w:r>
      <w:r>
        <w:rPr>
          <w:rFonts w:ascii="David" w:hAnsi="David" w:cs="David"/>
          <w:b/>
          <w:bCs/>
          <w:sz w:val="24"/>
          <w:szCs w:val="24"/>
          <w:rtl/>
          <w:lang w:eastAsia="he-IL"/>
        </w:rPr>
        <w:t>ת: זה נכון,</w:t>
      </w:r>
      <w:r w:rsidR="00C14E19">
        <w:rPr>
          <w:rFonts w:ascii="David" w:hAnsi="David" w:cs="David"/>
          <w:b/>
          <w:bCs/>
          <w:sz w:val="24"/>
          <w:szCs w:val="24"/>
          <w:rtl/>
          <w:lang w:eastAsia="he-IL"/>
        </w:rPr>
        <w:t xml:space="preserve"> דווקא אני חיפשתי תיקים</w:t>
      </w:r>
      <w:r>
        <w:rPr>
          <w:rFonts w:ascii="David" w:hAnsi="David" w:cs="David"/>
          <w:b/>
          <w:bCs/>
          <w:sz w:val="24"/>
          <w:szCs w:val="24"/>
          <w:rtl/>
          <w:lang w:eastAsia="he-IL"/>
        </w:rPr>
        <w:t xml:space="preserve"> [...]"</w:t>
      </w:r>
      <w:r>
        <w:rPr>
          <w:rFonts w:ascii="David" w:hAnsi="David" w:cs="David"/>
          <w:b/>
          <w:bCs/>
          <w:sz w:val="24"/>
          <w:szCs w:val="24"/>
          <w:rtl/>
        </w:rPr>
        <w:t xml:space="preserve"> </w:t>
      </w:r>
      <w:r>
        <w:rPr>
          <w:rFonts w:ascii="David" w:hAnsi="David" w:cs="David"/>
          <w:sz w:val="24"/>
          <w:szCs w:val="24"/>
          <w:rtl/>
        </w:rPr>
        <w:t xml:space="preserve">(עיינו פרוטוקול דיון מיום 18.02.2021, עמ' 25-26, ש' 3-3). </w:t>
      </w:r>
    </w:p>
    <w:p w:rsidR="00457B60" w:rsidRDefault="00457B60" w:rsidP="00457B60">
      <w:pPr>
        <w:pStyle w:val="af2"/>
        <w:tabs>
          <w:tab w:val="left" w:pos="8164"/>
        </w:tabs>
        <w:spacing w:after="120" w:line="360" w:lineRule="auto"/>
        <w:ind w:left="566" w:hanging="567"/>
        <w:contextualSpacing w:val="0"/>
        <w:jc w:val="both"/>
        <w:rPr>
          <w:rFonts w:ascii="David" w:hAnsi="David" w:cs="David"/>
          <w:sz w:val="24"/>
          <w:szCs w:val="24"/>
          <w:rtl/>
        </w:rPr>
      </w:pPr>
      <w:r>
        <w:rPr>
          <w:rFonts w:ascii="David" w:hAnsi="David" w:cs="David"/>
          <w:sz w:val="24"/>
          <w:szCs w:val="24"/>
          <w:rtl/>
        </w:rPr>
        <w:tab/>
        <w:t xml:space="preserve">מר </w:t>
      </w:r>
      <w:r w:rsidR="000F5BF7">
        <w:rPr>
          <w:rFonts w:ascii="David" w:hAnsi="David" w:cs="David"/>
          <w:sz w:val="24"/>
          <w:szCs w:val="24"/>
          <w:rtl/>
        </w:rPr>
        <w:t>ר'</w:t>
      </w:r>
      <w:r w:rsidR="00C14E19">
        <w:rPr>
          <w:rFonts w:ascii="David" w:hAnsi="David" w:cs="David"/>
          <w:sz w:val="24"/>
          <w:szCs w:val="24"/>
          <w:rtl/>
        </w:rPr>
        <w:t xml:space="preserve"> לא נשאל לגבי ייצוג </w:t>
      </w:r>
      <w:r w:rsidR="000F5BF7">
        <w:rPr>
          <w:rFonts w:ascii="David" w:hAnsi="David" w:cs="David"/>
          <w:sz w:val="24"/>
          <w:szCs w:val="24"/>
          <w:rtl/>
        </w:rPr>
        <w:t>ו'</w:t>
      </w:r>
      <w:r>
        <w:rPr>
          <w:rFonts w:ascii="David" w:hAnsi="David" w:cs="David"/>
          <w:sz w:val="24"/>
          <w:szCs w:val="24"/>
          <w:rtl/>
        </w:rPr>
        <w:t xml:space="preserve"> </w:t>
      </w:r>
      <w:r>
        <w:rPr>
          <w:rFonts w:ascii="David" w:hAnsi="David" w:cs="David"/>
          <w:sz w:val="24"/>
          <w:szCs w:val="24"/>
          <w:u w:val="single"/>
          <w:rtl/>
        </w:rPr>
        <w:t>לאחר</w:t>
      </w:r>
      <w:r>
        <w:rPr>
          <w:rFonts w:ascii="David" w:hAnsi="David" w:cs="David"/>
          <w:sz w:val="24"/>
          <w:szCs w:val="24"/>
          <w:rtl/>
        </w:rPr>
        <w:t xml:space="preserve"> עריכת הצוואות. שהרי השאלה התחילה במילים "</w:t>
      </w:r>
      <w:r>
        <w:rPr>
          <w:rFonts w:ascii="David" w:hAnsi="David" w:cs="David"/>
          <w:b/>
          <w:bCs/>
          <w:sz w:val="24"/>
          <w:szCs w:val="24"/>
          <w:rtl/>
        </w:rPr>
        <w:t>אנחנו נדבר קצת מזיכרון</w:t>
      </w:r>
      <w:r>
        <w:rPr>
          <w:rFonts w:ascii="David" w:hAnsi="David" w:cs="David"/>
          <w:sz w:val="24"/>
          <w:szCs w:val="24"/>
          <w:rtl/>
        </w:rPr>
        <w:t xml:space="preserve">"? וכן הוגד מר </w:t>
      </w:r>
      <w:r w:rsidR="000F5BF7">
        <w:rPr>
          <w:rFonts w:ascii="David" w:hAnsi="David" w:cs="David"/>
          <w:sz w:val="24"/>
          <w:szCs w:val="24"/>
          <w:rtl/>
        </w:rPr>
        <w:t>ר'</w:t>
      </w:r>
      <w:r>
        <w:rPr>
          <w:rFonts w:ascii="David" w:hAnsi="David" w:cs="David"/>
          <w:sz w:val="24"/>
          <w:szCs w:val="24"/>
          <w:rtl/>
        </w:rPr>
        <w:t xml:space="preserve"> "</w:t>
      </w:r>
      <w:r>
        <w:rPr>
          <w:rFonts w:ascii="David" w:hAnsi="David" w:cs="David"/>
          <w:b/>
          <w:bCs/>
          <w:sz w:val="24"/>
          <w:szCs w:val="24"/>
          <w:rtl/>
        </w:rPr>
        <w:t>עורך דין חדש</w:t>
      </w:r>
      <w:r>
        <w:rPr>
          <w:rFonts w:ascii="David" w:hAnsi="David" w:cs="David"/>
          <w:sz w:val="24"/>
          <w:szCs w:val="24"/>
          <w:rtl/>
        </w:rPr>
        <w:t xml:space="preserve">". ודוק - מר </w:t>
      </w:r>
      <w:r w:rsidR="000F5BF7">
        <w:rPr>
          <w:rFonts w:ascii="David" w:hAnsi="David" w:cs="David"/>
          <w:sz w:val="24"/>
          <w:szCs w:val="24"/>
          <w:rtl/>
        </w:rPr>
        <w:t>ר'</w:t>
      </w:r>
      <w:r w:rsidR="00C14E19">
        <w:rPr>
          <w:rFonts w:ascii="David" w:hAnsi="David" w:cs="David"/>
          <w:sz w:val="24"/>
          <w:szCs w:val="24"/>
          <w:rtl/>
        </w:rPr>
        <w:t xml:space="preserve"> לא נשאל כלל לגבי ייצוג </w:t>
      </w:r>
      <w:r w:rsidR="000F5BF7">
        <w:rPr>
          <w:rFonts w:ascii="David" w:hAnsi="David" w:cs="David"/>
          <w:sz w:val="24"/>
          <w:szCs w:val="24"/>
          <w:rtl/>
        </w:rPr>
        <w:t>ו'</w:t>
      </w:r>
      <w:r>
        <w:rPr>
          <w:rFonts w:ascii="David" w:hAnsi="David" w:cs="David"/>
          <w:sz w:val="24"/>
          <w:szCs w:val="24"/>
          <w:rtl/>
        </w:rPr>
        <w:t xml:space="preserve"> </w:t>
      </w:r>
      <w:r>
        <w:rPr>
          <w:rFonts w:ascii="David" w:hAnsi="David" w:cs="David"/>
          <w:sz w:val="24"/>
          <w:szCs w:val="24"/>
          <w:u w:val="single"/>
          <w:rtl/>
        </w:rPr>
        <w:t>לאחר</w:t>
      </w:r>
      <w:r>
        <w:rPr>
          <w:rFonts w:ascii="David" w:hAnsi="David" w:cs="David"/>
          <w:sz w:val="24"/>
          <w:szCs w:val="24"/>
          <w:rtl/>
        </w:rPr>
        <w:t xml:space="preserve"> עריכת הצוואות, ולבטח לא לגבי ייצוג מאוחר יותר, כ-15-20 שנים לאחר מכן. </w:t>
      </w:r>
    </w:p>
    <w:p w:rsidR="00457B60" w:rsidRDefault="00457B60" w:rsidP="00457B60">
      <w:pPr>
        <w:pStyle w:val="af2"/>
        <w:numPr>
          <w:ilvl w:val="0"/>
          <w:numId w:val="4"/>
        </w:numPr>
        <w:tabs>
          <w:tab w:val="left" w:pos="8164"/>
        </w:tabs>
        <w:spacing w:after="120" w:line="360" w:lineRule="auto"/>
        <w:ind w:left="566" w:hanging="567"/>
        <w:contextualSpacing w:val="0"/>
        <w:jc w:val="both"/>
        <w:rPr>
          <w:rFonts w:ascii="David" w:hAnsi="David" w:cs="David"/>
          <w:sz w:val="24"/>
          <w:szCs w:val="24"/>
        </w:rPr>
      </w:pPr>
      <w:r>
        <w:rPr>
          <w:rFonts w:ascii="David" w:hAnsi="David" w:cs="David"/>
          <w:sz w:val="24"/>
          <w:szCs w:val="24"/>
          <w:rtl/>
        </w:rPr>
        <w:t>כמו כן, מושא המחלוקת בתובענה הינה צוואת אוגוסט 81, אשר לה נושאים נלווים לרבות הצוואות הקודמות, המנוח עצמו, הנסיבות שסבבו סביב החתימה על הצוואה המדוברת, מעורב</w:t>
      </w:r>
      <w:r w:rsidR="00C539E0">
        <w:rPr>
          <w:rFonts w:ascii="David" w:hAnsi="David" w:cs="David" w:hint="cs"/>
          <w:sz w:val="24"/>
          <w:szCs w:val="24"/>
          <w:rtl/>
        </w:rPr>
        <w:t>ו</w:t>
      </w:r>
      <w:r w:rsidR="00C539E0">
        <w:rPr>
          <w:rFonts w:ascii="David" w:hAnsi="David" w:cs="David"/>
          <w:sz w:val="24"/>
          <w:szCs w:val="24"/>
          <w:rtl/>
        </w:rPr>
        <w:t xml:space="preserve">תו של </w:t>
      </w:r>
      <w:r w:rsidR="000F5BF7">
        <w:rPr>
          <w:rFonts w:ascii="David" w:hAnsi="David" w:cs="David"/>
          <w:sz w:val="24"/>
          <w:szCs w:val="24"/>
          <w:rtl/>
        </w:rPr>
        <w:t>ו'</w:t>
      </w:r>
      <w:r>
        <w:rPr>
          <w:rFonts w:ascii="David" w:hAnsi="David" w:cs="David"/>
          <w:sz w:val="24"/>
          <w:szCs w:val="24"/>
          <w:rtl/>
        </w:rPr>
        <w:t xml:space="preserve"> וכן </w:t>
      </w:r>
      <w:r>
        <w:rPr>
          <w:rFonts w:ascii="David" w:hAnsi="David" w:cs="David"/>
          <w:sz w:val="24"/>
          <w:szCs w:val="24"/>
          <w:u w:val="single"/>
          <w:rtl/>
        </w:rPr>
        <w:t>חלוקת העיזבון וההסכמות אליהן הגיעו האחים</w:t>
      </w:r>
      <w:r>
        <w:rPr>
          <w:rFonts w:ascii="David" w:hAnsi="David" w:cs="David"/>
          <w:sz w:val="24"/>
          <w:szCs w:val="24"/>
          <w:rtl/>
        </w:rPr>
        <w:t xml:space="preserve"> (עיינו לדוגמא עמ' 23, ש' 25-29, "</w:t>
      </w:r>
      <w:r>
        <w:rPr>
          <w:rFonts w:ascii="David" w:hAnsi="David" w:cs="David"/>
          <w:b/>
          <w:bCs/>
          <w:sz w:val="24"/>
          <w:szCs w:val="24"/>
          <w:rtl/>
        </w:rPr>
        <w:t>ש: אמרת שידעת על הסכם חלוקה שעשו הצדדים, שלושת האחים, בשנת 1995. כן? ת: 95'? ש: כן. ת: כן. ידעתי על קיום הסכם כזה</w:t>
      </w:r>
      <w:r>
        <w:rPr>
          <w:rFonts w:ascii="David" w:hAnsi="David" w:cs="David"/>
          <w:sz w:val="24"/>
          <w:szCs w:val="24"/>
          <w:rtl/>
        </w:rPr>
        <w:t xml:space="preserve">"). מר </w:t>
      </w:r>
      <w:r w:rsidR="000F5BF7">
        <w:rPr>
          <w:rFonts w:ascii="David" w:hAnsi="David" w:cs="David"/>
          <w:sz w:val="24"/>
          <w:szCs w:val="24"/>
          <w:rtl/>
        </w:rPr>
        <w:t>ר'</w:t>
      </w:r>
      <w:r>
        <w:rPr>
          <w:rFonts w:ascii="David" w:hAnsi="David" w:cs="David"/>
          <w:sz w:val="24"/>
          <w:szCs w:val="24"/>
          <w:rtl/>
        </w:rPr>
        <w:t xml:space="preserve"> נשאל לגבי "עניינים אחרים", אך מה הם בדיוק אותם עניינים אחרים? האם הסכם העיזבון הינו עניין אחר? מכל מקום, להבנתי שאלת הייצוג התייחסה לשנות ה-80', עובר לעריכת הצוואות, ראו האמור בסעיף 15 לעיל. ואזכיר כי פסק הדין קמא עולה כי טיעוניו המשפטיים של המנוח </w:t>
      </w:r>
      <w:r w:rsidR="000F5BF7">
        <w:rPr>
          <w:rFonts w:ascii="David" w:hAnsi="David" w:cs="David"/>
          <w:sz w:val="24"/>
          <w:szCs w:val="24"/>
          <w:rtl/>
        </w:rPr>
        <w:t>ס'</w:t>
      </w:r>
      <w:r>
        <w:rPr>
          <w:rFonts w:ascii="David" w:hAnsi="David" w:cs="David"/>
          <w:sz w:val="24"/>
          <w:szCs w:val="24"/>
          <w:rtl/>
        </w:rPr>
        <w:t xml:space="preserve"> הקשורים למר </w:t>
      </w:r>
      <w:r w:rsidR="000F5BF7">
        <w:rPr>
          <w:rFonts w:ascii="David" w:hAnsi="David" w:cs="David"/>
          <w:sz w:val="24"/>
          <w:szCs w:val="24"/>
          <w:rtl/>
        </w:rPr>
        <w:t>ר'</w:t>
      </w:r>
      <w:r>
        <w:rPr>
          <w:rFonts w:ascii="David" w:hAnsi="David" w:cs="David"/>
          <w:sz w:val="24"/>
          <w:szCs w:val="24"/>
          <w:rtl/>
        </w:rPr>
        <w:t xml:space="preserve"> היו ביחס לפגמים הצורניים בצוואה, לפגמים המהותיים בצוואה ולהשפעה בלתי הוגנת. </w:t>
      </w:r>
    </w:p>
    <w:p w:rsidR="00457B60" w:rsidRDefault="00457B60" w:rsidP="00457B60">
      <w:pPr>
        <w:pStyle w:val="af2"/>
        <w:numPr>
          <w:ilvl w:val="0"/>
          <w:numId w:val="4"/>
        </w:numPr>
        <w:tabs>
          <w:tab w:val="left" w:pos="8164"/>
        </w:tabs>
        <w:spacing w:after="120" w:line="360" w:lineRule="auto"/>
        <w:ind w:left="566" w:hanging="567"/>
        <w:contextualSpacing w:val="0"/>
        <w:jc w:val="both"/>
        <w:rPr>
          <w:rFonts w:ascii="David" w:hAnsi="David" w:cs="David"/>
          <w:color w:val="000000"/>
          <w:sz w:val="24"/>
          <w:szCs w:val="24"/>
        </w:rPr>
      </w:pPr>
      <w:r>
        <w:rPr>
          <w:rFonts w:ascii="David" w:hAnsi="David" w:cs="David"/>
          <w:sz w:val="24"/>
          <w:szCs w:val="24"/>
          <w:rtl/>
        </w:rPr>
        <w:t xml:space="preserve">מכל האמור לעיל, אני בדעה כי אין בראיות שצירופן מתבקש כדי להשליך על משקל עדותו של מר </w:t>
      </w:r>
      <w:r w:rsidR="000F5BF7">
        <w:rPr>
          <w:rFonts w:ascii="David" w:hAnsi="David" w:cs="David"/>
          <w:sz w:val="24"/>
          <w:szCs w:val="24"/>
          <w:rtl/>
        </w:rPr>
        <w:t>ר'</w:t>
      </w:r>
      <w:r>
        <w:rPr>
          <w:rFonts w:ascii="David" w:hAnsi="David" w:cs="David"/>
          <w:sz w:val="24"/>
          <w:szCs w:val="24"/>
          <w:rtl/>
        </w:rPr>
        <w:t xml:space="preserve"> ו/או מהימנותו כפי שהתרשם בית משפא קמא באופן ישיר ממנו</w:t>
      </w:r>
      <w:r>
        <w:rPr>
          <w:rFonts w:ascii="David" w:hAnsi="David" w:cs="David"/>
          <w:color w:val="000000"/>
          <w:sz w:val="24"/>
          <w:szCs w:val="24"/>
          <w:rtl/>
        </w:rPr>
        <w:t>.</w:t>
      </w:r>
      <w:r>
        <w:rPr>
          <w:rFonts w:ascii="David" w:hAnsi="David" w:cs="David"/>
          <w:sz w:val="24"/>
          <w:szCs w:val="24"/>
          <w:rtl/>
        </w:rPr>
        <w:t xml:space="preserve"> אדגיש כי חקירתו של מר </w:t>
      </w:r>
      <w:r w:rsidR="000F5BF7">
        <w:rPr>
          <w:rFonts w:ascii="David" w:hAnsi="David" w:cs="David"/>
          <w:sz w:val="24"/>
          <w:szCs w:val="24"/>
          <w:rtl/>
        </w:rPr>
        <w:t>ר'</w:t>
      </w:r>
      <w:r>
        <w:rPr>
          <w:rFonts w:ascii="David" w:hAnsi="David" w:cs="David"/>
          <w:sz w:val="24"/>
          <w:szCs w:val="24"/>
          <w:rtl/>
        </w:rPr>
        <w:t xml:space="preserve"> התמקדה ביחס לעריכת הצוואות, חתימתן, מצ</w:t>
      </w:r>
      <w:r w:rsidR="00C539E0">
        <w:rPr>
          <w:rFonts w:ascii="David" w:hAnsi="David" w:cs="David"/>
          <w:sz w:val="24"/>
          <w:szCs w:val="24"/>
          <w:rtl/>
        </w:rPr>
        <w:t>בו ורצונו של המנוח, מעורב</w:t>
      </w:r>
      <w:r w:rsidR="00C539E0">
        <w:rPr>
          <w:rFonts w:ascii="David" w:hAnsi="David" w:cs="David" w:hint="cs"/>
          <w:sz w:val="24"/>
          <w:szCs w:val="24"/>
          <w:rtl/>
        </w:rPr>
        <w:t>ו</w:t>
      </w:r>
      <w:r w:rsidR="00C539E0">
        <w:rPr>
          <w:rFonts w:ascii="David" w:hAnsi="David" w:cs="David"/>
          <w:sz w:val="24"/>
          <w:szCs w:val="24"/>
          <w:rtl/>
        </w:rPr>
        <w:t xml:space="preserve">תו של </w:t>
      </w:r>
      <w:r w:rsidR="000F5BF7">
        <w:rPr>
          <w:rFonts w:ascii="David" w:hAnsi="David" w:cs="David"/>
          <w:sz w:val="24"/>
          <w:szCs w:val="24"/>
          <w:rtl/>
        </w:rPr>
        <w:t>ו'</w:t>
      </w:r>
      <w:r>
        <w:rPr>
          <w:rFonts w:ascii="David" w:hAnsi="David" w:cs="David"/>
          <w:sz w:val="24"/>
          <w:szCs w:val="24"/>
          <w:rtl/>
        </w:rPr>
        <w:t xml:space="preserve"> ועוד, ביחס לשנות ה-80', תקופה שקדמה שנים רבות לפרוץ הסכסוך בין האחים באשר לחלוקת העיזבון ו/או שאלת הייצוג שהייתה בשנת 2002. להשקפתי אין להתיר צירוף הראיות שכן אין בהן כדי להעיד כי מר </w:t>
      </w:r>
      <w:r w:rsidR="000F5BF7">
        <w:rPr>
          <w:rFonts w:ascii="David" w:hAnsi="David" w:cs="David"/>
          <w:sz w:val="24"/>
          <w:szCs w:val="24"/>
          <w:rtl/>
        </w:rPr>
        <w:t>ר'</w:t>
      </w:r>
      <w:r>
        <w:rPr>
          <w:rFonts w:ascii="David" w:hAnsi="David" w:cs="David"/>
          <w:sz w:val="24"/>
          <w:szCs w:val="24"/>
          <w:rtl/>
        </w:rPr>
        <w:t xml:space="preserve"> הוא בגדר "עד מוטה שיש לו עניין מובהק במשפט", ויותר מכל, אין הן נחוצות כדי למנוע עיוות דין, אין בהן פוטנציאל לתרומה משמעותית לצורך חקר האמת וצירופן עלול להכביד ולסרבל ההליך שלא לצורך. </w:t>
      </w:r>
    </w:p>
    <w:p w:rsidR="00457B60" w:rsidRDefault="00457B60" w:rsidP="00457B60">
      <w:pPr>
        <w:pStyle w:val="af2"/>
        <w:numPr>
          <w:ilvl w:val="0"/>
          <w:numId w:val="4"/>
        </w:numPr>
        <w:spacing w:after="120" w:line="360" w:lineRule="auto"/>
        <w:ind w:left="566" w:hanging="567"/>
        <w:contextualSpacing w:val="0"/>
        <w:jc w:val="both"/>
        <w:rPr>
          <w:rFonts w:ascii="David" w:hAnsi="David" w:cs="David"/>
          <w:b/>
          <w:bCs/>
          <w:color w:val="000000"/>
          <w:sz w:val="24"/>
          <w:szCs w:val="24"/>
          <w:rtl/>
        </w:rPr>
      </w:pPr>
      <w:r>
        <w:rPr>
          <w:rFonts w:ascii="David" w:hAnsi="David" w:cs="David"/>
          <w:b/>
          <w:bCs/>
          <w:color w:val="000000"/>
          <w:sz w:val="24"/>
          <w:szCs w:val="24"/>
          <w:rtl/>
        </w:rPr>
        <w:t xml:space="preserve">סוף דבר, כחברי </w:t>
      </w:r>
      <w:proofErr w:type="spellStart"/>
      <w:r>
        <w:rPr>
          <w:rFonts w:ascii="David" w:hAnsi="David" w:cs="David"/>
          <w:b/>
          <w:bCs/>
          <w:color w:val="000000"/>
          <w:sz w:val="24"/>
          <w:szCs w:val="24"/>
          <w:rtl/>
        </w:rPr>
        <w:t>האב"</w:t>
      </w:r>
      <w:r w:rsidR="00C539E0">
        <w:rPr>
          <w:rFonts w:ascii="David" w:hAnsi="David" w:cs="David"/>
          <w:b/>
          <w:bCs/>
          <w:color w:val="000000"/>
          <w:sz w:val="24"/>
          <w:szCs w:val="24"/>
          <w:rtl/>
        </w:rPr>
        <w:t>ד</w:t>
      </w:r>
      <w:proofErr w:type="spellEnd"/>
      <w:r w:rsidR="00C539E0">
        <w:rPr>
          <w:rFonts w:ascii="David" w:hAnsi="David" w:cs="David"/>
          <w:b/>
          <w:bCs/>
          <w:color w:val="000000"/>
          <w:sz w:val="24"/>
          <w:szCs w:val="24"/>
          <w:rtl/>
        </w:rPr>
        <w:t xml:space="preserve"> אני סבורה שהנטל מונח על כתפי </w:t>
      </w:r>
      <w:r w:rsidR="000F5BF7">
        <w:rPr>
          <w:rFonts w:ascii="David" w:hAnsi="David" w:cs="David"/>
          <w:b/>
          <w:bCs/>
          <w:color w:val="000000"/>
          <w:sz w:val="24"/>
          <w:szCs w:val="24"/>
          <w:rtl/>
        </w:rPr>
        <w:t>ו'</w:t>
      </w:r>
      <w:r>
        <w:rPr>
          <w:rFonts w:ascii="David" w:hAnsi="David" w:cs="David"/>
          <w:b/>
          <w:bCs/>
          <w:color w:val="000000"/>
          <w:sz w:val="24"/>
          <w:szCs w:val="24"/>
          <w:rtl/>
        </w:rPr>
        <w:t xml:space="preserve">, ולפיכך התיק יוחזר לערכאה המבררת להשלים מלאכתה האם צוואת אוגוסט 81 "משקפת את רצונו החופשי </w:t>
      </w:r>
      <w:proofErr w:type="spellStart"/>
      <w:r>
        <w:rPr>
          <w:rFonts w:ascii="David" w:hAnsi="David" w:cs="David"/>
          <w:b/>
          <w:bCs/>
          <w:color w:val="000000"/>
          <w:sz w:val="24"/>
          <w:szCs w:val="24"/>
          <w:rtl/>
        </w:rPr>
        <w:t>והאמיתי</w:t>
      </w:r>
      <w:proofErr w:type="spellEnd"/>
      <w:r>
        <w:rPr>
          <w:rFonts w:ascii="David" w:hAnsi="David" w:cs="David"/>
          <w:b/>
          <w:bCs/>
          <w:color w:val="000000"/>
          <w:sz w:val="24"/>
          <w:szCs w:val="24"/>
          <w:rtl/>
        </w:rPr>
        <w:t xml:space="preserve"> של המצווה". לא יותר צירופן של הראיות החדשות, שכן אין בהן כדי להשפיע על תוצאות ההכרעה ואין בהן כדי למנוע עיוות דין. </w:t>
      </w:r>
    </w:p>
    <w:p w:rsidR="00457B60" w:rsidRDefault="00457B60" w:rsidP="00457B60">
      <w:pPr>
        <w:pStyle w:val="af2"/>
        <w:spacing w:after="120" w:line="360" w:lineRule="auto"/>
        <w:ind w:left="566" w:hanging="567"/>
        <w:contextualSpacing w:val="0"/>
        <w:jc w:val="both"/>
        <w:rPr>
          <w:rFonts w:ascii="David" w:hAnsi="David" w:cs="David"/>
          <w:b/>
          <w:bCs/>
          <w:color w:val="000000"/>
          <w:sz w:val="24"/>
          <w:szCs w:val="24"/>
          <w:rtl/>
        </w:rPr>
      </w:pPr>
    </w:p>
    <w:p w:rsidR="00FC4801" w:rsidRDefault="00FC4801" w:rsidP="00457B60">
      <w:pPr>
        <w:pStyle w:val="af2"/>
        <w:spacing w:after="120" w:line="360" w:lineRule="auto"/>
        <w:ind w:left="566" w:hanging="567"/>
        <w:contextualSpacing w:val="0"/>
        <w:jc w:val="both"/>
        <w:rPr>
          <w:rFonts w:ascii="David" w:hAnsi="David" w:cs="David"/>
          <w:b/>
          <w:bCs/>
          <w:color w:val="000000"/>
          <w:sz w:val="24"/>
          <w:szCs w:val="24"/>
        </w:rPr>
      </w:pPr>
    </w:p>
    <w:p w:rsidR="00457B60" w:rsidRDefault="00457B60" w:rsidP="00457B60">
      <w:pPr>
        <w:spacing w:after="120" w:line="360" w:lineRule="auto"/>
        <w:jc w:val="both"/>
        <w:rPr>
          <w:rFonts w:ascii="David" w:hAnsi="David"/>
          <w:b/>
          <w:bCs/>
          <w:color w:val="000000"/>
          <w:rtl/>
        </w:rPr>
      </w:pPr>
      <w:r>
        <w:rPr>
          <w:rFonts w:ascii="David" w:hAnsi="David"/>
          <w:b/>
          <w:bCs/>
          <w:color w:val="000000"/>
          <w:u w:val="single"/>
          <w:rtl/>
        </w:rPr>
        <w:t>השופט אריה נאמן</w:t>
      </w:r>
      <w:r>
        <w:rPr>
          <w:rFonts w:ascii="David" w:hAnsi="David"/>
          <w:b/>
          <w:bCs/>
          <w:color w:val="000000"/>
          <w:rtl/>
        </w:rPr>
        <w:t>:</w:t>
      </w:r>
    </w:p>
    <w:p w:rsidR="00457B60" w:rsidRDefault="00457B60" w:rsidP="00457B60">
      <w:pPr>
        <w:spacing w:after="120" w:line="360" w:lineRule="auto"/>
        <w:jc w:val="both"/>
        <w:rPr>
          <w:rFonts w:ascii="David" w:hAnsi="David"/>
          <w:color w:val="000000"/>
          <w:rtl/>
        </w:rPr>
      </w:pPr>
      <w:r>
        <w:rPr>
          <w:rFonts w:ascii="David" w:hAnsi="David"/>
          <w:color w:val="000000"/>
          <w:rtl/>
        </w:rPr>
        <w:t>אני מצטרף לחוות דעתו של חברי, השופט חננאל שרעבי, גם בסוגיית הראיות הנוספות.</w:t>
      </w:r>
    </w:p>
    <w:p w:rsidR="00457B60" w:rsidRDefault="00457B60" w:rsidP="00457B60">
      <w:pPr>
        <w:spacing w:after="120" w:line="360" w:lineRule="auto"/>
        <w:jc w:val="both"/>
        <w:rPr>
          <w:rFonts w:ascii="David" w:hAnsi="David"/>
          <w:color w:val="000000"/>
          <w:rtl/>
        </w:rPr>
      </w:pPr>
    </w:p>
    <w:p w:rsidR="00FC4801" w:rsidRDefault="00FC4801" w:rsidP="00457B60">
      <w:pPr>
        <w:spacing w:after="120" w:line="360" w:lineRule="auto"/>
        <w:jc w:val="both"/>
        <w:rPr>
          <w:rFonts w:ascii="David" w:hAnsi="David"/>
          <w:color w:val="000000"/>
          <w:rtl/>
        </w:rPr>
      </w:pPr>
    </w:p>
    <w:p w:rsidR="00FC4801" w:rsidRDefault="00FC4801" w:rsidP="00457B60">
      <w:pPr>
        <w:spacing w:after="120" w:line="360" w:lineRule="auto"/>
        <w:jc w:val="both"/>
        <w:rPr>
          <w:rFonts w:ascii="David" w:hAnsi="David"/>
          <w:color w:val="000000"/>
          <w:rtl/>
        </w:rPr>
      </w:pPr>
    </w:p>
    <w:p w:rsidR="00457B60" w:rsidRDefault="00457B60" w:rsidP="00457B60">
      <w:pPr>
        <w:spacing w:after="120" w:line="360" w:lineRule="auto"/>
        <w:jc w:val="both"/>
        <w:rPr>
          <w:rFonts w:ascii="David" w:hAnsi="David"/>
          <w:b/>
          <w:bCs/>
          <w:color w:val="000000"/>
          <w:u w:val="single"/>
          <w:rtl/>
        </w:rPr>
      </w:pPr>
      <w:r>
        <w:rPr>
          <w:rFonts w:ascii="David" w:hAnsi="David"/>
          <w:b/>
          <w:bCs/>
          <w:color w:val="000000"/>
          <w:u w:val="single"/>
          <w:rtl/>
        </w:rPr>
        <w:lastRenderedPageBreak/>
        <w:t>סיכום הדברים</w:t>
      </w:r>
    </w:p>
    <w:p w:rsidR="00457B60" w:rsidRDefault="00457B60" w:rsidP="00457B60">
      <w:pPr>
        <w:spacing w:after="120" w:line="360" w:lineRule="auto"/>
        <w:jc w:val="both"/>
        <w:rPr>
          <w:rFonts w:ascii="David" w:hAnsi="David"/>
          <w:color w:val="000000"/>
          <w:rtl/>
        </w:rPr>
      </w:pPr>
      <w:r>
        <w:rPr>
          <w:rFonts w:ascii="David" w:hAnsi="David"/>
          <w:color w:val="000000"/>
          <w:u w:val="single"/>
          <w:rtl/>
        </w:rPr>
        <w:t>לאור כל האמור לעיל הוחלט כמפורט בסעיף 64 לחוות דעתו של השופט שרעבי, כדלקמן</w:t>
      </w:r>
      <w:r>
        <w:rPr>
          <w:rFonts w:ascii="David" w:hAnsi="David"/>
          <w:color w:val="000000"/>
          <w:rtl/>
        </w:rPr>
        <w:t>:</w:t>
      </w:r>
    </w:p>
    <w:p w:rsidR="00457B60" w:rsidRDefault="00457B60" w:rsidP="00457B60">
      <w:pPr>
        <w:spacing w:after="120" w:line="360" w:lineRule="auto"/>
        <w:ind w:left="720" w:hanging="720"/>
        <w:jc w:val="both"/>
        <w:rPr>
          <w:rFonts w:ascii="David" w:hAnsi="David"/>
          <w:rtl/>
        </w:rPr>
      </w:pPr>
      <w:r>
        <w:rPr>
          <w:rFonts w:ascii="David" w:hAnsi="David"/>
          <w:rtl/>
        </w:rPr>
        <w:t>א.</w:t>
      </w:r>
      <w:r>
        <w:rPr>
          <w:rFonts w:ascii="David" w:hAnsi="David"/>
          <w:rtl/>
        </w:rPr>
        <w:tab/>
        <w:t xml:space="preserve">לקבל </w:t>
      </w:r>
      <w:r>
        <w:rPr>
          <w:rFonts w:ascii="David" w:hAnsi="David"/>
          <w:b/>
          <w:bCs/>
          <w:u w:val="single"/>
          <w:rtl/>
        </w:rPr>
        <w:t>פה אחד</w:t>
      </w:r>
      <w:r>
        <w:rPr>
          <w:rFonts w:ascii="David" w:hAnsi="David"/>
          <w:rtl/>
        </w:rPr>
        <w:t xml:space="preserve"> הערעורים בחלקם, באופן שייקבע כי קביעות בית המשפט בפסק הדין בפרקים הבאים (כפי שמופיעים בפסק הדין) יבוטלו, ועניינם יוכרע בשנית על ידי בית המשפט </w:t>
      </w:r>
      <w:r>
        <w:rPr>
          <w:rFonts w:ascii="David" w:hAnsi="David"/>
          <w:u w:val="single"/>
          <w:rtl/>
        </w:rPr>
        <w:t xml:space="preserve">כשהפעם נקודת המוצא היא שנטל השכנוע מוטל על </w:t>
      </w:r>
      <w:r w:rsidR="000F5BF7">
        <w:rPr>
          <w:rFonts w:ascii="David" w:hAnsi="David"/>
          <w:u w:val="single"/>
          <w:rtl/>
        </w:rPr>
        <w:t>ו'</w:t>
      </w:r>
      <w:r>
        <w:rPr>
          <w:rFonts w:ascii="David" w:hAnsi="David"/>
          <w:rtl/>
        </w:rPr>
        <w:t>:</w:t>
      </w:r>
    </w:p>
    <w:p w:rsidR="00457B60" w:rsidRDefault="00457B60" w:rsidP="00457B60">
      <w:pPr>
        <w:spacing w:after="120" w:line="360" w:lineRule="auto"/>
        <w:ind w:left="1440" w:hanging="720"/>
        <w:jc w:val="both"/>
        <w:rPr>
          <w:rFonts w:ascii="David" w:hAnsi="David"/>
          <w:b/>
          <w:bCs/>
          <w:rtl/>
        </w:rPr>
      </w:pPr>
      <w:r>
        <w:rPr>
          <w:rFonts w:ascii="David" w:hAnsi="David"/>
          <w:b/>
          <w:bCs/>
          <w:rtl/>
        </w:rPr>
        <w:t>פסלות הצוואה מחמת פגמים צורניים;</w:t>
      </w:r>
    </w:p>
    <w:p w:rsidR="00457B60" w:rsidRDefault="00457B60" w:rsidP="00457B60">
      <w:pPr>
        <w:spacing w:after="120" w:line="360" w:lineRule="auto"/>
        <w:jc w:val="both"/>
        <w:rPr>
          <w:rFonts w:ascii="David" w:hAnsi="David"/>
          <w:b/>
          <w:bCs/>
          <w:rtl/>
        </w:rPr>
      </w:pPr>
      <w:r>
        <w:rPr>
          <w:rFonts w:ascii="David" w:hAnsi="David"/>
          <w:b/>
          <w:bCs/>
          <w:rtl/>
        </w:rPr>
        <w:tab/>
        <w:t>כשרות המצווה (המנוח) לצוות;</w:t>
      </w:r>
    </w:p>
    <w:p w:rsidR="00457B60" w:rsidRDefault="00457B60" w:rsidP="00457B60">
      <w:pPr>
        <w:spacing w:after="120" w:line="360" w:lineRule="auto"/>
        <w:jc w:val="both"/>
        <w:rPr>
          <w:rFonts w:ascii="David" w:hAnsi="David"/>
          <w:b/>
          <w:bCs/>
          <w:rtl/>
        </w:rPr>
      </w:pPr>
      <w:r>
        <w:rPr>
          <w:rFonts w:ascii="David" w:hAnsi="David"/>
          <w:b/>
          <w:bCs/>
          <w:rtl/>
        </w:rPr>
        <w:tab/>
        <w:t>מעורבות –</w:t>
      </w:r>
      <w:r w:rsidR="007E729B">
        <w:rPr>
          <w:rFonts w:ascii="David" w:hAnsi="David"/>
          <w:b/>
          <w:bCs/>
          <w:rtl/>
        </w:rPr>
        <w:t xml:space="preserve"> נטילת (</w:t>
      </w:r>
      <w:r w:rsidR="000F5BF7">
        <w:rPr>
          <w:rFonts w:ascii="David" w:hAnsi="David"/>
          <w:b/>
          <w:bCs/>
          <w:rtl/>
        </w:rPr>
        <w:t>ו'</w:t>
      </w:r>
      <w:r w:rsidR="007E729B">
        <w:rPr>
          <w:rFonts w:ascii="David" w:hAnsi="David"/>
          <w:b/>
          <w:bCs/>
          <w:rtl/>
        </w:rPr>
        <w:t>) חלק בעריכת הצוואה</w:t>
      </w:r>
      <w:r w:rsidR="007E729B">
        <w:rPr>
          <w:rFonts w:ascii="David" w:hAnsi="David" w:hint="cs"/>
          <w:b/>
          <w:bCs/>
          <w:rtl/>
        </w:rPr>
        <w:t>;</w:t>
      </w:r>
    </w:p>
    <w:p w:rsidR="007E729B" w:rsidRDefault="007E729B" w:rsidP="00457B60">
      <w:pPr>
        <w:spacing w:after="120" w:line="360" w:lineRule="auto"/>
        <w:jc w:val="both"/>
        <w:rPr>
          <w:rFonts w:ascii="David" w:hAnsi="David"/>
          <w:b/>
          <w:bCs/>
          <w:rtl/>
        </w:rPr>
      </w:pPr>
      <w:r>
        <w:rPr>
          <w:rFonts w:ascii="David" w:hAnsi="David"/>
          <w:b/>
          <w:bCs/>
          <w:rtl/>
        </w:rPr>
        <w:tab/>
      </w:r>
      <w:r>
        <w:rPr>
          <w:rFonts w:ascii="David" w:hAnsi="David" w:hint="cs"/>
          <w:b/>
          <w:bCs/>
          <w:rtl/>
        </w:rPr>
        <w:t>השפעה בלתי הוגנת.</w:t>
      </w:r>
    </w:p>
    <w:p w:rsidR="00457B60" w:rsidRDefault="00457B60" w:rsidP="00457B60">
      <w:pPr>
        <w:spacing w:after="120" w:line="360" w:lineRule="auto"/>
        <w:ind w:left="720" w:hanging="720"/>
        <w:jc w:val="both"/>
        <w:rPr>
          <w:rFonts w:ascii="David" w:hAnsi="David"/>
          <w:rtl/>
        </w:rPr>
      </w:pPr>
      <w:r>
        <w:rPr>
          <w:rFonts w:ascii="David" w:hAnsi="David"/>
          <w:rtl/>
        </w:rPr>
        <w:t>ב.</w:t>
      </w:r>
      <w:r>
        <w:rPr>
          <w:rFonts w:ascii="David" w:hAnsi="David"/>
          <w:rtl/>
        </w:rPr>
        <w:tab/>
      </w:r>
      <w:r>
        <w:rPr>
          <w:rFonts w:ascii="David" w:hAnsi="David"/>
          <w:b/>
          <w:bCs/>
          <w:u w:val="single"/>
          <w:rtl/>
        </w:rPr>
        <w:t>ברוב דעות</w:t>
      </w:r>
      <w:r>
        <w:rPr>
          <w:rFonts w:ascii="David" w:hAnsi="David"/>
          <w:rtl/>
        </w:rPr>
        <w:t xml:space="preserve"> להורות – כי הראיות החדשות יוגשו לבית משפט קמא, שיחליט, לאחר קבלת עמדות הצדדים, אם להעיד את </w:t>
      </w:r>
      <w:r w:rsidR="000F5BF7">
        <w:rPr>
          <w:rFonts w:ascii="David" w:hAnsi="David"/>
          <w:rtl/>
        </w:rPr>
        <w:t>ר'</w:t>
      </w:r>
      <w:r>
        <w:rPr>
          <w:rFonts w:ascii="David" w:hAnsi="David"/>
          <w:rtl/>
        </w:rPr>
        <w:t xml:space="preserve"> בשנית לגביהן, יעריך מהימנותו בשנית ויקבע ממצאיו בנושאים דלעיל (המפורטים בס"ק (א)) גם לנוכח ממצאיו בראיות הנוספות. </w:t>
      </w:r>
    </w:p>
    <w:p w:rsidR="00457B60" w:rsidRDefault="00457B60" w:rsidP="00457B60">
      <w:pPr>
        <w:spacing w:after="120" w:line="360" w:lineRule="auto"/>
        <w:ind w:left="720" w:hanging="720"/>
        <w:jc w:val="both"/>
        <w:rPr>
          <w:rFonts w:ascii="David" w:hAnsi="David"/>
          <w:rtl/>
        </w:rPr>
      </w:pPr>
      <w:r>
        <w:rPr>
          <w:rFonts w:ascii="David" w:hAnsi="David"/>
          <w:rtl/>
        </w:rPr>
        <w:t>ג.</w:t>
      </w:r>
      <w:r>
        <w:rPr>
          <w:rFonts w:ascii="David" w:hAnsi="David"/>
          <w:rtl/>
        </w:rPr>
        <w:tab/>
        <w:t xml:space="preserve">לחייב את המשיב </w:t>
      </w:r>
      <w:r w:rsidR="000F5BF7">
        <w:rPr>
          <w:rFonts w:ascii="David" w:hAnsi="David"/>
          <w:rtl/>
        </w:rPr>
        <w:t>ו'</w:t>
      </w:r>
      <w:r>
        <w:rPr>
          <w:rFonts w:ascii="David" w:hAnsi="David"/>
          <w:rtl/>
        </w:rPr>
        <w:t xml:space="preserve"> בשני הערעורים בהוצאות המערערים בערעורם בסכום של 8000 ₪ לכל צד מערער (סך הכל 16,000 ₪), שישולמו תוך 30 ימים מיום מתן פסק דין זה, שאם לא כן יישא הסכום הפרשי הצמדה וריבית כדין עד ליום התשלום המלא בפועל. </w:t>
      </w:r>
    </w:p>
    <w:p w:rsidR="00FC4801" w:rsidRDefault="00457B60" w:rsidP="00A647C7">
      <w:pPr>
        <w:spacing w:after="360" w:line="360" w:lineRule="auto"/>
        <w:jc w:val="both"/>
        <w:rPr>
          <w:rFonts w:ascii="David" w:hAnsi="David"/>
          <w:rtl/>
        </w:rPr>
      </w:pPr>
      <w:r>
        <w:rPr>
          <w:rFonts w:ascii="David" w:hAnsi="David"/>
          <w:rtl/>
        </w:rPr>
        <w:t>ד.</w:t>
      </w:r>
      <w:r>
        <w:rPr>
          <w:rFonts w:ascii="David" w:hAnsi="David"/>
          <w:rtl/>
        </w:rPr>
        <w:tab/>
        <w:t xml:space="preserve">ערבון שהפקיד כל אחד מהמערערים בערעורו, יוחזר לידיו באמצעות בא כוחו.  </w:t>
      </w:r>
      <w:r w:rsidR="00A647C7">
        <w:rPr>
          <w:rFonts w:ascii="David" w:hAnsi="David"/>
          <w:rtl/>
        </w:rPr>
        <w:tab/>
      </w:r>
    </w:p>
    <w:p w:rsidR="00FC4801" w:rsidRDefault="00457B60" w:rsidP="00FC4801">
      <w:pPr>
        <w:spacing w:after="120" w:line="360" w:lineRule="auto"/>
        <w:jc w:val="both"/>
        <w:rPr>
          <w:rFonts w:ascii="Arial" w:hAnsi="Arial"/>
          <w:noProof w:val="0"/>
          <w:rtl/>
        </w:rPr>
      </w:pPr>
      <w:r>
        <w:rPr>
          <w:rFonts w:ascii="David" w:hAnsi="David"/>
          <w:b/>
          <w:bCs/>
          <w:rtl/>
        </w:rPr>
        <w:t>פסק דין זה מותר לפרסום תוך השמטת שמות הצדדים וכל פרט מזהה אחר.</w:t>
      </w:r>
    </w:p>
    <w:p w:rsidR="00FC4801" w:rsidRPr="00C770E3" w:rsidRDefault="00FC4801" w:rsidP="00FC4801">
      <w:pPr>
        <w:spacing w:after="120" w:line="360" w:lineRule="auto"/>
        <w:jc w:val="both"/>
        <w:rPr>
          <w:rFonts w:ascii="Arial" w:hAnsi="Arial"/>
          <w:noProof w:val="0"/>
          <w:rtl/>
        </w:rPr>
      </w:pPr>
    </w:p>
    <w:p w:rsidR="00C43648" w:rsidRDefault="0043502B" w:rsidP="00A0376F">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יולי 2024</w:t>
          </w:r>
        </w:sdtContent>
      </w:sdt>
      <w:r w:rsidR="00005C8B">
        <w:rPr>
          <w:rFonts w:ascii="Arial" w:hAnsi="Arial"/>
          <w:noProof w:val="0"/>
          <w:rtl/>
        </w:rPr>
        <w:t>, בהעדר הצדדים.</w:t>
      </w:r>
    </w:p>
    <w:p w:rsidR="00A0376F" w:rsidRDefault="00A0376F" w:rsidP="00A0376F">
      <w:pPr>
        <w:spacing w:line="360" w:lineRule="auto"/>
        <w:jc w:val="both"/>
        <w:rPr>
          <w:rFonts w:ascii="Arial" w:hAnsi="Arial"/>
          <w:noProof w:val="0"/>
          <w:rtl/>
        </w:rPr>
      </w:pPr>
    </w:p>
    <w:p w:rsidR="00A0376F" w:rsidRDefault="00A0376F" w:rsidP="00A0376F">
      <w:pPr>
        <w:spacing w:line="360" w:lineRule="auto"/>
        <w:jc w:val="both"/>
        <w:rPr>
          <w:rFonts w:ascii="Arial" w:hAnsi="Arial"/>
          <w:noProof w:val="0"/>
          <w:rtl/>
        </w:rPr>
      </w:pPr>
    </w:p>
    <w:p w:rsidR="00A0376F" w:rsidRDefault="00A0376F" w:rsidP="00A0376F">
      <w:pPr>
        <w:spacing w:line="360" w:lineRule="auto"/>
        <w:jc w:val="both"/>
        <w:rPr>
          <w:rFonts w:ascii="Arial" w:hAnsi="Arial"/>
          <w:noProof w:val="0"/>
          <w:rtl/>
        </w:rPr>
      </w:pPr>
    </w:p>
    <w:p w:rsidR="00A0376F" w:rsidRPr="00EC12BC" w:rsidRDefault="00A0376F"/>
    <w:tbl>
      <w:tblPr>
        <w:tblStyle w:val="ac"/>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A0376F" w:rsidRPr="00EC12BC" w:rsidTr="002F5226">
        <w:trPr>
          <w:jc w:val="center"/>
        </w:trPr>
        <w:tc>
          <w:tcPr>
            <w:tcW w:w="2796" w:type="dxa"/>
            <w:tcBorders>
              <w:top w:val="nil"/>
              <w:left w:val="nil"/>
              <w:bottom w:val="single" w:sz="4" w:space="0" w:color="auto"/>
              <w:right w:val="nil"/>
            </w:tcBorders>
            <w:vAlign w:val="bottom"/>
          </w:tcPr>
          <w:p w:rsidR="00A0376F" w:rsidRPr="00EC12BC" w:rsidRDefault="00A0376F"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6341" cy="847284"/>
                          </a:xfrm>
                          <a:prstGeom prst="rect">
                            <a:avLst/>
                          </a:prstGeom>
                        </pic:spPr>
                      </pic:pic>
                    </a:graphicData>
                  </a:graphic>
                </wp:inline>
              </w:drawing>
            </w:r>
          </w:p>
        </w:tc>
        <w:tc>
          <w:tcPr>
            <w:tcW w:w="354" w:type="dxa"/>
            <w:vAlign w:val="bottom"/>
          </w:tcPr>
          <w:p w:rsidR="00A0376F" w:rsidRPr="00EC12BC" w:rsidRDefault="00A0376F"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A0376F" w:rsidRPr="00EC12BC" w:rsidRDefault="00A0376F"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A0376F" w:rsidRPr="00EC12BC" w:rsidRDefault="00A0376F"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A0376F" w:rsidRPr="00EC12BC" w:rsidRDefault="00A0376F"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A0376F" w:rsidRPr="00EC12BC" w:rsidTr="002F5226">
        <w:trPr>
          <w:jc w:val="center"/>
        </w:trPr>
        <w:tc>
          <w:tcPr>
            <w:tcW w:w="2796" w:type="dxa"/>
            <w:tcBorders>
              <w:top w:val="single" w:sz="4" w:space="0" w:color="auto"/>
              <w:left w:val="nil"/>
              <w:bottom w:val="nil"/>
              <w:right w:val="nil"/>
            </w:tcBorders>
          </w:tcPr>
          <w:p w:rsidR="00A0376F" w:rsidRDefault="00A0376F" w:rsidP="00BB162B">
            <w:pPr>
              <w:jc w:val="center"/>
              <w:rPr>
                <w:b/>
                <w:bCs/>
                <w:rtl/>
              </w:rPr>
            </w:pPr>
            <w:r>
              <w:rPr>
                <w:rFonts w:hint="cs"/>
                <w:b/>
                <w:bCs/>
                <w:rtl/>
              </w:rPr>
              <w:t>ח. שרעבי, שופט</w:t>
            </w:r>
          </w:p>
          <w:p w:rsidR="00A0376F" w:rsidRPr="00EC12BC" w:rsidRDefault="00A0376F" w:rsidP="00BB162B">
            <w:pPr>
              <w:jc w:val="center"/>
              <w:rPr>
                <w:b/>
                <w:bCs/>
              </w:rPr>
            </w:pPr>
            <w:r>
              <w:rPr>
                <w:rFonts w:hint="cs"/>
                <w:b/>
                <w:bCs/>
                <w:rtl/>
              </w:rPr>
              <w:t>אב"ד</w:t>
            </w:r>
          </w:p>
        </w:tc>
        <w:tc>
          <w:tcPr>
            <w:tcW w:w="354" w:type="dxa"/>
          </w:tcPr>
          <w:p w:rsidR="00A0376F" w:rsidRPr="00EC12BC" w:rsidRDefault="00A0376F" w:rsidP="00BB162B">
            <w:pPr>
              <w:spacing w:line="360" w:lineRule="auto"/>
              <w:rPr>
                <w:b/>
                <w:bCs/>
                <w:color w:val="FF0000"/>
              </w:rPr>
            </w:pPr>
          </w:p>
        </w:tc>
        <w:tc>
          <w:tcPr>
            <w:tcW w:w="2312" w:type="dxa"/>
            <w:tcBorders>
              <w:top w:val="single" w:sz="4" w:space="0" w:color="auto"/>
              <w:left w:val="nil"/>
              <w:bottom w:val="nil"/>
              <w:right w:val="nil"/>
            </w:tcBorders>
          </w:tcPr>
          <w:p w:rsidR="00A0376F" w:rsidRPr="00EC12BC" w:rsidRDefault="00A0376F" w:rsidP="00BB162B">
            <w:pPr>
              <w:spacing w:line="360" w:lineRule="auto"/>
              <w:jc w:val="center"/>
              <w:rPr>
                <w:b/>
                <w:bCs/>
              </w:rPr>
            </w:pPr>
            <w:r>
              <w:rPr>
                <w:rFonts w:hint="cs"/>
                <w:b/>
                <w:bCs/>
                <w:rtl/>
              </w:rPr>
              <w:t>א. אלון, שופטת</w:t>
            </w:r>
          </w:p>
        </w:tc>
        <w:tc>
          <w:tcPr>
            <w:tcW w:w="341" w:type="dxa"/>
          </w:tcPr>
          <w:p w:rsidR="00A0376F" w:rsidRPr="00EC12BC" w:rsidRDefault="00A0376F" w:rsidP="00BB162B">
            <w:pPr>
              <w:spacing w:line="360" w:lineRule="auto"/>
              <w:rPr>
                <w:b/>
                <w:bCs/>
                <w:color w:val="FF0000"/>
              </w:rPr>
            </w:pPr>
          </w:p>
        </w:tc>
        <w:tc>
          <w:tcPr>
            <w:tcW w:w="2503" w:type="dxa"/>
            <w:tcBorders>
              <w:top w:val="single" w:sz="4" w:space="0" w:color="auto"/>
              <w:left w:val="nil"/>
              <w:bottom w:val="nil"/>
              <w:right w:val="nil"/>
            </w:tcBorders>
          </w:tcPr>
          <w:p w:rsidR="00A0376F" w:rsidRPr="00EC12BC" w:rsidRDefault="00A0376F" w:rsidP="00BB162B">
            <w:pPr>
              <w:spacing w:line="360" w:lineRule="auto"/>
              <w:jc w:val="center"/>
              <w:rPr>
                <w:b/>
                <w:bCs/>
                <w:rtl/>
              </w:rPr>
            </w:pPr>
            <w:r>
              <w:rPr>
                <w:rFonts w:hint="cs"/>
                <w:b/>
                <w:bCs/>
                <w:rtl/>
              </w:rPr>
              <w:t>א. נאמן, שופט</w:t>
            </w:r>
          </w:p>
        </w:tc>
      </w:tr>
    </w:tbl>
    <w:p w:rsidR="00694556" w:rsidRDefault="00694556" w:rsidP="00A647C7">
      <w:pPr>
        <w:tabs>
          <w:tab w:val="left" w:pos="2553"/>
        </w:tabs>
        <w:rPr>
          <w:rFonts w:ascii="Arial" w:hAnsi="Arial"/>
          <w:noProof w:val="0"/>
          <w:rtl/>
        </w:rPr>
      </w:pPr>
    </w:p>
    <w:sectPr w:rsidR="00694556" w:rsidSect="00457B60">
      <w:headerReference w:type="even" r:id="rId14"/>
      <w:headerReference w:type="default" r:id="rId15"/>
      <w:footerReference w:type="even" r:id="rId16"/>
      <w:footerReference w:type="default" r:id="rId17"/>
      <w:headerReference w:type="first" r:id="rId18"/>
      <w:footerReference w:type="first" r:id="rId19"/>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24A" w:rsidRDefault="00F3524A">
      <w:r>
        <w:separator/>
      </w:r>
    </w:p>
  </w:endnote>
  <w:endnote w:type="continuationSeparator" w:id="0">
    <w:p w:rsidR="00F3524A" w:rsidRDefault="00F3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763" w:rsidRDefault="004D67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5"/>
      <w:jc w:val="center"/>
      <w:rPr>
        <w:rStyle w:val="ae"/>
        <w:rFonts w:ascii="David" w:hAnsi="David"/>
      </w:rPr>
    </w:pPr>
    <w:r w:rsidRPr="00424313">
      <w:rPr>
        <w:rStyle w:val="ae"/>
        <w:rFonts w:ascii="David" w:hAnsi="David"/>
      </w:rPr>
      <w:fldChar w:fldCharType="begin"/>
    </w:r>
    <w:r w:rsidR="00005C8B" w:rsidRPr="00424313">
      <w:rPr>
        <w:rStyle w:val="ae"/>
        <w:rFonts w:ascii="David" w:hAnsi="David"/>
      </w:rPr>
      <w:instrText xml:space="preserve"> PAGE </w:instrText>
    </w:r>
    <w:r w:rsidRPr="00424313">
      <w:rPr>
        <w:rStyle w:val="ae"/>
        <w:rFonts w:ascii="David" w:hAnsi="David"/>
      </w:rPr>
      <w:fldChar w:fldCharType="separate"/>
    </w:r>
    <w:r w:rsidR="004D6763">
      <w:rPr>
        <w:rStyle w:val="ae"/>
        <w:rFonts w:ascii="David" w:hAnsi="David"/>
        <w:rtl/>
      </w:rPr>
      <w:t>1</w:t>
    </w:r>
    <w:r w:rsidRPr="00424313">
      <w:rPr>
        <w:rStyle w:val="ae"/>
        <w:rFonts w:ascii="David" w:hAnsi="David"/>
      </w:rPr>
      <w:fldChar w:fldCharType="end"/>
    </w:r>
    <w:r w:rsidR="00005C8B" w:rsidRPr="00424313">
      <w:rPr>
        <w:rStyle w:val="ae"/>
        <w:rFonts w:ascii="David" w:hAnsi="David"/>
        <w:rtl/>
      </w:rPr>
      <w:t xml:space="preserve"> מתוך </w:t>
    </w:r>
    <w:r w:rsidRPr="00424313">
      <w:rPr>
        <w:rStyle w:val="ae"/>
        <w:rFonts w:ascii="David" w:hAnsi="David"/>
      </w:rPr>
      <w:fldChar w:fldCharType="begin"/>
    </w:r>
    <w:r w:rsidR="00005C8B" w:rsidRPr="00424313">
      <w:rPr>
        <w:rStyle w:val="ae"/>
        <w:rFonts w:ascii="David" w:hAnsi="David"/>
      </w:rPr>
      <w:instrText xml:space="preserve"> NUMPAGES </w:instrText>
    </w:r>
    <w:r w:rsidRPr="00424313">
      <w:rPr>
        <w:rStyle w:val="ae"/>
        <w:rFonts w:ascii="David" w:hAnsi="David"/>
      </w:rPr>
      <w:fldChar w:fldCharType="separate"/>
    </w:r>
    <w:r w:rsidR="004D6763">
      <w:rPr>
        <w:rStyle w:val="ae"/>
        <w:rFonts w:ascii="David" w:hAnsi="David"/>
        <w:rtl/>
      </w:rPr>
      <w:t>47</w:t>
    </w:r>
    <w:r w:rsidRPr="00424313">
      <w:rPr>
        <w:rStyle w:val="ae"/>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763" w:rsidRDefault="004D676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24A" w:rsidRDefault="00F3524A">
      <w:r>
        <w:separator/>
      </w:r>
    </w:p>
  </w:footnote>
  <w:footnote w:type="continuationSeparator" w:id="0">
    <w:p w:rsidR="00F3524A" w:rsidRDefault="00F35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763" w:rsidRDefault="004D676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57B60">
    <w:pPr>
      <w:pStyle w:val="a3"/>
      <w:jc w:val="center"/>
      <w:rPr>
        <w:rFonts w:cs="FrankRuehl"/>
        <w:noProof w:val="0"/>
        <w:sz w:val="28"/>
        <w:szCs w:val="28"/>
        <w:rtl/>
      </w:rPr>
    </w:pPr>
    <w:r>
      <w:rPr>
        <w:rFonts w:cs="FrankRuehl"/>
        <w:noProof w:val="0"/>
        <w:sz w:val="28"/>
        <w:szCs w:val="28"/>
      </w:rPr>
      <w:t xml:space="preserve"> </w:t>
    </w:r>
    <w:r w:rsidR="00DC1259">
      <w:rPr>
        <w:rFonts w:cs="FrankRuehl"/>
        <w:sz w:val="28"/>
        <w:szCs w:val="28"/>
      </w:rPr>
      <w:drawing>
        <wp:inline distT="0" distB="0" distL="0" distR="0" wp14:anchorId="2535346B" wp14:editId="0528C5E4">
          <wp:extent cx="374015" cy="469265"/>
          <wp:effectExtent l="0" t="0" r="6985" b="6985"/>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3524A" w:rsidP="007C2453">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עמ"ש</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51377-12-23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A66CB9">
                <w:rPr>
                  <w:b/>
                  <w:bCs/>
                  <w:noProof w:val="0"/>
                  <w:sz w:val="26"/>
                  <w:szCs w:val="26"/>
                  <w:rtl/>
                </w:rPr>
                <w:t>מ</w:t>
              </w:r>
              <w:r w:rsidR="00A66CB9">
                <w:rPr>
                  <w:rFonts w:hint="cs"/>
                  <w:b/>
                  <w:bCs/>
                  <w:noProof w:val="0"/>
                  <w:sz w:val="26"/>
                  <w:szCs w:val="26"/>
                  <w:rtl/>
                </w:rPr>
                <w:t>.</w:t>
              </w:r>
              <w:r w:rsidR="00A66CB9">
                <w:rPr>
                  <w:b/>
                  <w:bCs/>
                  <w:noProof w:val="0"/>
                  <w:sz w:val="26"/>
                  <w:szCs w:val="26"/>
                  <w:rtl/>
                </w:rPr>
                <w:t xml:space="preserve"> ע נ' מ</w:t>
              </w:r>
              <w:r w:rsidR="00A66CB9">
                <w:rPr>
                  <w:rFonts w:hint="cs"/>
                  <w:b/>
                  <w:bCs/>
                  <w:noProof w:val="0"/>
                  <w:sz w:val="26"/>
                  <w:szCs w:val="26"/>
                  <w:rtl/>
                </w:rPr>
                <w:t xml:space="preserve">. ע </w:t>
              </w:r>
              <w:r w:rsidR="00424313">
                <w:rPr>
                  <w:b/>
                  <w:bCs/>
                  <w:noProof w:val="0"/>
                  <w:sz w:val="26"/>
                  <w:szCs w:val="26"/>
                  <w:rtl/>
                </w:rPr>
                <w:t>(המנוח)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Default="00F3524A" w:rsidP="00457B60">
          <w:pPr>
            <w:rPr>
              <w:b/>
              <w:bCs/>
              <w:noProof w:val="0"/>
              <w:sz w:val="26"/>
              <w:szCs w:val="26"/>
              <w:rtl/>
            </w:rPr>
          </w:pPr>
          <w:sdt>
            <w:sdtPr>
              <w:rPr>
                <w:rtl/>
              </w:rPr>
              <w:alias w:val="1170"/>
              <w:tag w:val="1170"/>
              <w:id w:val="-369914470"/>
              <w:text w:multiLine="1"/>
            </w:sdtPr>
            <w:sdtEndPr/>
            <w:sdtContent>
              <w:proofErr w:type="spellStart"/>
              <w:r w:rsidR="00424313">
                <w:rPr>
                  <w:b/>
                  <w:bCs/>
                  <w:noProof w:val="0"/>
                  <w:sz w:val="26"/>
                  <w:szCs w:val="26"/>
                  <w:rtl/>
                </w:rPr>
                <w:t>עמ"ש</w:t>
              </w:r>
              <w:proofErr w:type="spellEnd"/>
            </w:sdtContent>
          </w:sdt>
          <w:r w:rsidR="00005C8B">
            <w:rPr>
              <w:b/>
              <w:bCs/>
              <w:noProof w:val="0"/>
              <w:sz w:val="26"/>
              <w:szCs w:val="26"/>
              <w:rtl/>
            </w:rPr>
            <w:t xml:space="preserve"> </w:t>
          </w:r>
          <w:sdt>
            <w:sdtPr>
              <w:rPr>
                <w:rtl/>
              </w:rPr>
              <w:alias w:val="1171"/>
              <w:tag w:val="1171"/>
              <w:id w:val="-1264607115"/>
              <w:text w:multiLine="1"/>
            </w:sdtPr>
            <w:sdtEndPr/>
            <w:sdtContent>
              <w:r w:rsidR="00424313">
                <w:rPr>
                  <w:b/>
                  <w:bCs/>
                  <w:noProof w:val="0"/>
                  <w:sz w:val="26"/>
                  <w:szCs w:val="26"/>
                  <w:rtl/>
                </w:rPr>
                <w:t>53261-12-23</w:t>
              </w:r>
            </w:sdtContent>
          </w:sdt>
          <w:r w:rsidR="00005C8B">
            <w:rPr>
              <w:b/>
              <w:bCs/>
              <w:noProof w:val="0"/>
              <w:sz w:val="26"/>
              <w:szCs w:val="26"/>
              <w:rtl/>
            </w:rPr>
            <w:t xml:space="preserve"> </w:t>
          </w:r>
          <w:sdt>
            <w:sdtPr>
              <w:rPr>
                <w:b/>
                <w:bCs/>
                <w:noProof w:val="0"/>
                <w:sz w:val="26"/>
                <w:szCs w:val="26"/>
                <w:rtl/>
              </w:rPr>
              <w:alias w:val="3154"/>
              <w:tag w:val="3154"/>
              <w:id w:val="303907216"/>
              <w:placeholder>
                <w:docPart w:val="F5EF4663D5094D57BB3FEC6B89CF5C8E"/>
              </w:placeholder>
              <w:text w:multiLine="1"/>
            </w:sdtPr>
            <w:sdtEndPr/>
            <w:sdtContent>
              <w:r w:rsidR="00A66CB9">
                <w:rPr>
                  <w:rFonts w:hint="cs"/>
                  <w:b/>
                  <w:bCs/>
                  <w:noProof w:val="0"/>
                  <w:sz w:val="26"/>
                  <w:szCs w:val="26"/>
                  <w:rtl/>
                </w:rPr>
                <w:t>עזבון המנוח מ. ע נ' ו. ע</w:t>
              </w:r>
            </w:sdtContent>
          </w:sdt>
          <w:r w:rsidR="007C2453">
            <w:rPr>
              <w:b/>
              <w:bCs/>
              <w:noProof w:val="0"/>
              <w:sz w:val="26"/>
              <w:szCs w:val="26"/>
              <w:rtl/>
            </w:rPr>
            <w:t xml:space="preserve"> </w:t>
          </w:r>
          <w:r w:rsidR="001173C6">
            <w:rPr>
              <w:sz w:val="20"/>
              <w:szCs w:val="20"/>
              <w:rtl/>
            </w:rPr>
            <w:t xml:space="preserve"> </w:t>
          </w:r>
          <w:r w:rsidR="00457B60">
            <w:rPr>
              <w:rFonts w:hint="cs"/>
              <w:b/>
              <w:bCs/>
              <w:noProof w:val="0"/>
              <w:sz w:val="26"/>
              <w:szCs w:val="26"/>
              <w:rtl/>
            </w:rPr>
            <w:t>ואח'</w:t>
          </w:r>
        </w:p>
        <w:p w:rsidR="00457B60" w:rsidRPr="00457B60" w:rsidRDefault="00457B60" w:rsidP="00457B60">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763" w:rsidRDefault="004D676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1B562A"/>
    <w:multiLevelType w:val="hybridMultilevel"/>
    <w:tmpl w:val="D5246CDA"/>
    <w:lvl w:ilvl="0" w:tplc="98DA51E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04B2177"/>
    <w:multiLevelType w:val="hybridMultilevel"/>
    <w:tmpl w:val="DB68D734"/>
    <w:lvl w:ilvl="0" w:tplc="E82212B4">
      <w:start w:val="1"/>
      <w:numFmt w:val="decimal"/>
      <w:lvlText w:val="%1."/>
      <w:lvlJc w:val="left"/>
      <w:pPr>
        <w:ind w:left="2620" w:hanging="360"/>
      </w:pPr>
      <w:rPr>
        <w:b/>
      </w:rPr>
    </w:lvl>
    <w:lvl w:ilvl="1" w:tplc="04090019">
      <w:start w:val="1"/>
      <w:numFmt w:val="lowerLetter"/>
      <w:lvlText w:val="%2."/>
      <w:lvlJc w:val="left"/>
      <w:pPr>
        <w:ind w:left="3340" w:hanging="360"/>
      </w:pPr>
    </w:lvl>
    <w:lvl w:ilvl="2" w:tplc="0409001B">
      <w:start w:val="1"/>
      <w:numFmt w:val="lowerRoman"/>
      <w:lvlText w:val="%3."/>
      <w:lvlJc w:val="right"/>
      <w:pPr>
        <w:ind w:left="4060" w:hanging="180"/>
      </w:pPr>
    </w:lvl>
    <w:lvl w:ilvl="3" w:tplc="0409000F">
      <w:start w:val="1"/>
      <w:numFmt w:val="decimal"/>
      <w:lvlText w:val="%4."/>
      <w:lvlJc w:val="left"/>
      <w:pPr>
        <w:ind w:left="4780" w:hanging="360"/>
      </w:pPr>
    </w:lvl>
    <w:lvl w:ilvl="4" w:tplc="04090019">
      <w:start w:val="1"/>
      <w:numFmt w:val="lowerLetter"/>
      <w:lvlText w:val="%5."/>
      <w:lvlJc w:val="left"/>
      <w:pPr>
        <w:ind w:left="5500" w:hanging="360"/>
      </w:pPr>
    </w:lvl>
    <w:lvl w:ilvl="5" w:tplc="0409001B">
      <w:start w:val="1"/>
      <w:numFmt w:val="lowerRoman"/>
      <w:lvlText w:val="%6."/>
      <w:lvlJc w:val="right"/>
      <w:pPr>
        <w:ind w:left="6220" w:hanging="180"/>
      </w:pPr>
    </w:lvl>
    <w:lvl w:ilvl="6" w:tplc="0409000F">
      <w:start w:val="1"/>
      <w:numFmt w:val="decimal"/>
      <w:lvlText w:val="%7."/>
      <w:lvlJc w:val="left"/>
      <w:pPr>
        <w:ind w:left="6940" w:hanging="360"/>
      </w:pPr>
    </w:lvl>
    <w:lvl w:ilvl="7" w:tplc="04090019">
      <w:start w:val="1"/>
      <w:numFmt w:val="lowerLetter"/>
      <w:lvlText w:val="%8."/>
      <w:lvlJc w:val="left"/>
      <w:pPr>
        <w:ind w:left="7660" w:hanging="360"/>
      </w:pPr>
    </w:lvl>
    <w:lvl w:ilvl="8" w:tplc="0409001B">
      <w:start w:val="1"/>
      <w:numFmt w:val="lowerRoman"/>
      <w:lvlText w:val="%9."/>
      <w:lvlJc w:val="right"/>
      <w:pPr>
        <w:ind w:left="83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524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52474&amp;lt;/CaseID&amp;gt;_x000d__x000a_        &amp;lt;CaseMonth&amp;gt;12&amp;lt;/CaseMonth&amp;gt;_x000d__x000a_        &amp;lt;CaseYear&amp;gt;2023&amp;lt;/CaseYear&amp;gt;_x000d__x000a_        &amp;lt;CaseNumber&amp;gt;51377&amp;lt;/CaseNumber&amp;gt;_x000d__x000a_        &amp;lt;NumeratorGroupID&amp;gt;1&amp;lt;/NumeratorGroupID&amp;gt;_x000d__x000a_        &amp;lt;CaseName&amp;gt;מיכאיל עבד נ&amp;#39; מיכאל עבד(המנוח) ואח&amp;#39;&amp;lt;/CaseName&amp;gt;_x000d__x000a_        &amp;lt;CourtID&amp;gt;13&amp;lt;/CourtID&amp;gt;_x000d__x000a_        &amp;lt;CaseTypeID&amp;gt;63&amp;lt;/CaseTypeID&amp;gt;_x000d__x000a_        &amp;lt;CaseInterestID&amp;gt;10336&amp;lt;/CaseInterestID&amp;gt;_x000d__x000a_        &amp;lt;CaseJudgeName&amp;gt;חננאל שרעבי&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1377-12-23&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12-25T07:19: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false&amp;lt;/IsMainCase&amp;gt;_x000d__x000a_        &amp;lt;CaseDesc&amp;gt;כתב תשובה התקבל והועבר למדור&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52474&amp;lt;/CaseID&amp;gt;_x000d__x000a_        &amp;lt;CaseMonth&amp;gt;12&amp;lt;/CaseMonth&amp;gt;_x000d__x000a_        &amp;lt;CaseYear&amp;gt;2023&amp;lt;/CaseYear&amp;gt;_x000d__x000a_        &amp;lt;CaseNumber&amp;gt;51377&amp;lt;/CaseNumber&amp;gt;_x000d__x000a_        &amp;lt;NumeratorGroupID&amp;gt;1&amp;lt;/NumeratorGroupID&amp;gt;_x000d__x000a_        &amp;lt;CaseName&amp;gt;מיכאיל עבד נ&amp;#39; מיכאל עבד(המנוח) ואח&amp;#39;&amp;lt;/CaseName&amp;gt;_x000d__x000a_        &amp;lt;CourtID&amp;gt;13&amp;lt;/CourtID&amp;gt;_x000d__x000a_        &amp;lt;CaseTypeID&amp;gt;63&amp;lt;/CaseTypeID&amp;gt;_x000d__x000a_        &amp;lt;CaseInterestID&amp;gt;10336&amp;lt;/CaseInterestID&amp;gt;_x000d__x000a_        &amp;lt;CaseJudgeName&amp;gt;חננאל שרעבי&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1377-12-23&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3-12-25T07:19: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false&amp;lt;/IsMainCase&amp;gt;_x000d__x000a_        &amp;lt;CaseDesc&amp;gt;כתב תשובה התקבל והועבר למדור&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25050&amp;lt;/DecisionID&amp;gt;_x000d__x000a_        &amp;lt;DecisionName&amp;gt;פסק דין  שניתנה ע&amp;quot;י  חננאל שרעבי&amp;lt;/DecisionName&amp;gt;_x000d__x000a_        &amp;lt;DecisionStatusID&amp;gt;1&amp;lt;/DecisionStatusID&amp;gt;_x000d__x000a_        &amp;lt;DecisionStatusChangeDate&amp;gt;2024-07-17T15:10:42.573+03:00&amp;lt;/DecisionStatusChangeDate&amp;gt;_x000d__x000a_        &amp;lt;DecisionSignatureDate&amp;gt;2024-07-17T10:45:29.98+03:00&amp;lt;/DecisionSignatureDate&amp;gt;_x000d__x000a_        &amp;lt;DecisionSignatureUserID&amp;gt;056479827@GOV.IL&amp;lt;/DecisionSignatureUserID&amp;gt;_x000d__x000a_        &amp;lt;DecisionCreateDate&amp;gt;2024-07-17T10:50:02.557+03:00&amp;lt;/DecisionCreateDate&amp;gt;_x000d__x000a_        &amp;lt;DecisionChangeDate&amp;gt;2024-07-17T15:10:42.58+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08878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2925050&amp;lt;/DecisionID&amp;gt;_x000d__x000a_        &amp;lt;CaseID&amp;gt;80854454&amp;lt;/CaseID&amp;gt;_x000d__x000a_        &amp;lt;IsOriginal&amp;gt;false&amp;lt;/IsOriginal&amp;gt;_x000d__x000a_        &amp;lt;IsDeleted&amp;gt;false&amp;lt;/IsDeleted&amp;gt;_x000d__x000a_        &amp;lt;CaseLinkTypeID&amp;gt;1&amp;lt;/CaseLinkTypeID&amp;gt;_x000d__x000a_        &amp;lt;CaseName&amp;gt;מיכאיל עבד(המנוח) ואח&amp;#39; נ&amp;#39; מיכאיל עבד(המנוח) ואח&amp;#39;&amp;lt;/CaseName&amp;gt;_x000d__x000a_        &amp;lt;CaseDisplayIdentifier&amp;gt;53261-12-23 עמ&amp;quot;ש&amp;lt;/CaseDisplayIdentifier&amp;gt;_x000d__x000a_      &amp;lt;/dt_DecisionCase&amp;gt;_x000d__x000a_      &amp;lt;dt_DecisionCase diffgr:id=&amp;quot;dt_DecisionCase2&amp;quot; msdata:rowOrder=&amp;quot;1&amp;quot;&amp;gt;_x000d__x000a_        &amp;lt;DecisionID&amp;gt;152925050&amp;lt;/DecisionID&amp;gt;_x000d__x000a_        &amp;lt;CaseID&amp;gt;80852474&amp;lt;/CaseID&amp;gt;_x000d__x000a_        &amp;lt;IsOriginal&amp;gt;true&amp;lt;/IsOriginal&amp;gt;_x000d__x000a_        &amp;lt;IsDeleted&amp;gt;false&amp;lt;/IsDeleted&amp;gt;_x000d__x000a_        &amp;lt;CaseLinkTypeID&amp;gt;1&amp;lt;/CaseLinkTypeID&amp;gt;_x000d__x000a_        &amp;lt;CaseName&amp;gt;מיכאיל עבד נ&amp;#39; מיכאל עבד(המנוח) ואח&amp;#39;&amp;lt;/CaseName&amp;gt;_x000d__x000a_        &amp;lt;CaseDisplayIdentifier&amp;gt;51377-12-23 עמ&amp;quot;ש&amp;lt;/CaseDisplayIdentifier&amp;gt;_x000d__x000a_      &amp;lt;/dt_DecisionCase&amp;gt;_x000d__x000a_      &amp;lt;dt_DecisionJudgePanel diffgr:id=&amp;quot;dt_DecisionJudgePanel1&amp;quot; msdata:rowOrder=&amp;quot;0&amp;quot;&amp;gt;_x000d__x000a_        &amp;lt;DecisionID&amp;gt;152925050&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925050&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925050&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2925050"/>
    <w:docVar w:name="docID" w:val="449088784"/>
    <w:docVar w:name="judgeUPN" w:val="056479827@GOV.IL"/>
    <w:docVar w:name="NGCS.TemplateCaseInterestID" w:val="10336"/>
    <w:docVar w:name="NGCS.TemplateCaseTypeID" w:val="63"/>
    <w:docVar w:name="NGCS.TemplateCourtID" w:val="13"/>
    <w:docVar w:name="NGCS.TemplateProceedingID" w:val="14"/>
    <w:docVar w:name="noteDocID" w:val="449088784"/>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0F5BF7"/>
    <w:rsid w:val="00107E6D"/>
    <w:rsid w:val="0011194C"/>
    <w:rsid w:val="0011424C"/>
    <w:rsid w:val="001173C6"/>
    <w:rsid w:val="00122A9F"/>
    <w:rsid w:val="001367BC"/>
    <w:rsid w:val="00144D2A"/>
    <w:rsid w:val="0014653E"/>
    <w:rsid w:val="00180519"/>
    <w:rsid w:val="00191C82"/>
    <w:rsid w:val="001A471F"/>
    <w:rsid w:val="001B598D"/>
    <w:rsid w:val="001C4003"/>
    <w:rsid w:val="001D4DBF"/>
    <w:rsid w:val="001E75CA"/>
    <w:rsid w:val="001F4B28"/>
    <w:rsid w:val="002265FF"/>
    <w:rsid w:val="00271B56"/>
    <w:rsid w:val="00272E32"/>
    <w:rsid w:val="002C344E"/>
    <w:rsid w:val="002E75E9"/>
    <w:rsid w:val="002F0B1E"/>
    <w:rsid w:val="002F5226"/>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57B60"/>
    <w:rsid w:val="00462C62"/>
    <w:rsid w:val="00465D36"/>
    <w:rsid w:val="00470A97"/>
    <w:rsid w:val="00484611"/>
    <w:rsid w:val="004C17EE"/>
    <w:rsid w:val="004C4BDF"/>
    <w:rsid w:val="004D1187"/>
    <w:rsid w:val="004D3AA0"/>
    <w:rsid w:val="004D6763"/>
    <w:rsid w:val="004E1987"/>
    <w:rsid w:val="004E2E15"/>
    <w:rsid w:val="004E6E3C"/>
    <w:rsid w:val="00520898"/>
    <w:rsid w:val="00523621"/>
    <w:rsid w:val="00524986"/>
    <w:rsid w:val="005268F6"/>
    <w:rsid w:val="00534284"/>
    <w:rsid w:val="0054140F"/>
    <w:rsid w:val="00547DB7"/>
    <w:rsid w:val="00557717"/>
    <w:rsid w:val="00576A86"/>
    <w:rsid w:val="00595E2E"/>
    <w:rsid w:val="005B152C"/>
    <w:rsid w:val="005F4F09"/>
    <w:rsid w:val="00603F73"/>
    <w:rsid w:val="0061431B"/>
    <w:rsid w:val="00622BAA"/>
    <w:rsid w:val="006306CF"/>
    <w:rsid w:val="00644E9A"/>
    <w:rsid w:val="00671BD5"/>
    <w:rsid w:val="006805C1"/>
    <w:rsid w:val="00686C21"/>
    <w:rsid w:val="006931C1"/>
    <w:rsid w:val="00694556"/>
    <w:rsid w:val="006B7009"/>
    <w:rsid w:val="006C1FB4"/>
    <w:rsid w:val="006C30C5"/>
    <w:rsid w:val="006D3B31"/>
    <w:rsid w:val="006E0D96"/>
    <w:rsid w:val="006E1A53"/>
    <w:rsid w:val="006F56E6"/>
    <w:rsid w:val="00702CE4"/>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E729B"/>
    <w:rsid w:val="007F4609"/>
    <w:rsid w:val="00805EFF"/>
    <w:rsid w:val="00814468"/>
    <w:rsid w:val="008176A1"/>
    <w:rsid w:val="00820005"/>
    <w:rsid w:val="0083329D"/>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9F3EA9"/>
    <w:rsid w:val="00A0376F"/>
    <w:rsid w:val="00A3392B"/>
    <w:rsid w:val="00A46717"/>
    <w:rsid w:val="00A57BF2"/>
    <w:rsid w:val="00A647C7"/>
    <w:rsid w:val="00A66CB9"/>
    <w:rsid w:val="00A73C29"/>
    <w:rsid w:val="00A85E34"/>
    <w:rsid w:val="00A90C3F"/>
    <w:rsid w:val="00A9144F"/>
    <w:rsid w:val="00A94B64"/>
    <w:rsid w:val="00AA3229"/>
    <w:rsid w:val="00AA7596"/>
    <w:rsid w:val="00AB3AE3"/>
    <w:rsid w:val="00AB5E52"/>
    <w:rsid w:val="00AC3B02"/>
    <w:rsid w:val="00AC3B7B"/>
    <w:rsid w:val="00AC5209"/>
    <w:rsid w:val="00AE0E34"/>
    <w:rsid w:val="00AE729E"/>
    <w:rsid w:val="00AE7752"/>
    <w:rsid w:val="00AF46EC"/>
    <w:rsid w:val="00AF7FDA"/>
    <w:rsid w:val="00B409BD"/>
    <w:rsid w:val="00B5356E"/>
    <w:rsid w:val="00B809AD"/>
    <w:rsid w:val="00B80CBD"/>
    <w:rsid w:val="00B859C5"/>
    <w:rsid w:val="00B86096"/>
    <w:rsid w:val="00B964D9"/>
    <w:rsid w:val="00BA0A7C"/>
    <w:rsid w:val="00BA517C"/>
    <w:rsid w:val="00BB3D05"/>
    <w:rsid w:val="00BB53D3"/>
    <w:rsid w:val="00BB73BE"/>
    <w:rsid w:val="00BC2A7E"/>
    <w:rsid w:val="00BC2D89"/>
    <w:rsid w:val="00BD6531"/>
    <w:rsid w:val="00BE05B2"/>
    <w:rsid w:val="00BF1908"/>
    <w:rsid w:val="00C14E19"/>
    <w:rsid w:val="00C22D93"/>
    <w:rsid w:val="00C23458"/>
    <w:rsid w:val="00C23AC9"/>
    <w:rsid w:val="00C31120"/>
    <w:rsid w:val="00C34482"/>
    <w:rsid w:val="00C43648"/>
    <w:rsid w:val="00C50A9F"/>
    <w:rsid w:val="00C539E0"/>
    <w:rsid w:val="00C642FA"/>
    <w:rsid w:val="00C770E3"/>
    <w:rsid w:val="00C95B56"/>
    <w:rsid w:val="00CC7622"/>
    <w:rsid w:val="00CD608F"/>
    <w:rsid w:val="00CF6BB7"/>
    <w:rsid w:val="00D04AA4"/>
    <w:rsid w:val="00D27982"/>
    <w:rsid w:val="00D33B86"/>
    <w:rsid w:val="00D44968"/>
    <w:rsid w:val="00D53924"/>
    <w:rsid w:val="00D55D0C"/>
    <w:rsid w:val="00D96D8C"/>
    <w:rsid w:val="00DA2495"/>
    <w:rsid w:val="00DA43B2"/>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06AB2"/>
    <w:rsid w:val="00F12D66"/>
    <w:rsid w:val="00F13623"/>
    <w:rsid w:val="00F22762"/>
    <w:rsid w:val="00F3524A"/>
    <w:rsid w:val="00F44D1D"/>
    <w:rsid w:val="00F84B6D"/>
    <w:rsid w:val="00F957E8"/>
    <w:rsid w:val="00FA311A"/>
    <w:rsid w:val="00FA5FDA"/>
    <w:rsid w:val="00FB2667"/>
    <w:rsid w:val="00FB6AB3"/>
    <w:rsid w:val="00FC4801"/>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230C7"/>
    <w:rPr>
      <w:color w:val="808080"/>
    </w:rPr>
  </w:style>
  <w:style w:type="character" w:styleId="Hyperlink">
    <w:name w:val="Hyperlink"/>
    <w:basedOn w:val="a0"/>
    <w:semiHidden/>
    <w:unhideWhenUsed/>
    <w:rsid w:val="00457B60"/>
    <w:rPr>
      <w:color w:val="0000FF"/>
      <w:u w:val="single"/>
    </w:rPr>
  </w:style>
  <w:style w:type="character" w:styleId="FollowedHyperlink">
    <w:name w:val="FollowedHyperlink"/>
    <w:basedOn w:val="a0"/>
    <w:uiPriority w:val="99"/>
    <w:semiHidden/>
    <w:unhideWhenUsed/>
    <w:rsid w:val="00457B60"/>
    <w:rPr>
      <w:color w:val="800080" w:themeColor="followedHyperlink"/>
      <w:u w:val="single"/>
    </w:rPr>
  </w:style>
  <w:style w:type="paragraph" w:customStyle="1" w:styleId="msonormal0">
    <w:name w:val="msonormal"/>
    <w:basedOn w:val="a"/>
    <w:rsid w:val="00457B60"/>
    <w:pPr>
      <w:bidi w:val="0"/>
      <w:spacing w:before="100" w:beforeAutospacing="1" w:after="100" w:afterAutospacing="1"/>
    </w:pPr>
    <w:rPr>
      <w:rFonts w:cs="Times New Roman"/>
      <w:noProof w:val="0"/>
    </w:rPr>
  </w:style>
  <w:style w:type="character" w:customStyle="1" w:styleId="a4">
    <w:name w:val="כותרת עליונה תו"/>
    <w:basedOn w:val="a0"/>
    <w:link w:val="a3"/>
    <w:uiPriority w:val="99"/>
    <w:rsid w:val="00457B60"/>
    <w:rPr>
      <w:rFonts w:cs="David"/>
      <w:noProof/>
      <w:sz w:val="24"/>
      <w:szCs w:val="24"/>
    </w:rPr>
  </w:style>
  <w:style w:type="character" w:customStyle="1" w:styleId="a6">
    <w:name w:val="כותרת תחתונה תו"/>
    <w:basedOn w:val="a0"/>
    <w:link w:val="a5"/>
    <w:uiPriority w:val="99"/>
    <w:rsid w:val="00457B60"/>
    <w:rPr>
      <w:rFonts w:cs="David"/>
      <w:noProof/>
      <w:sz w:val="24"/>
      <w:szCs w:val="24"/>
    </w:rPr>
  </w:style>
  <w:style w:type="paragraph" w:styleId="af0">
    <w:name w:val="endnote text"/>
    <w:basedOn w:val="a"/>
    <w:link w:val="af1"/>
    <w:uiPriority w:val="99"/>
    <w:semiHidden/>
    <w:unhideWhenUsed/>
    <w:rsid w:val="00457B60"/>
    <w:rPr>
      <w:rFonts w:asciiTheme="minorHAnsi" w:eastAsiaTheme="minorHAnsi" w:hAnsiTheme="minorHAnsi" w:cstheme="minorBidi"/>
      <w:noProof w:val="0"/>
      <w:sz w:val="20"/>
      <w:szCs w:val="20"/>
    </w:rPr>
  </w:style>
  <w:style w:type="character" w:customStyle="1" w:styleId="af1">
    <w:name w:val="טקסט הערת סיום תו"/>
    <w:basedOn w:val="a0"/>
    <w:link w:val="af0"/>
    <w:uiPriority w:val="99"/>
    <w:semiHidden/>
    <w:rsid w:val="00457B60"/>
    <w:rPr>
      <w:rFonts w:asciiTheme="minorHAnsi" w:eastAsiaTheme="minorHAnsi" w:hAnsiTheme="minorHAnsi" w:cstheme="minorBidi"/>
    </w:rPr>
  </w:style>
  <w:style w:type="character" w:customStyle="1" w:styleId="ab">
    <w:name w:val="טקסט בלונים תו"/>
    <w:basedOn w:val="a0"/>
    <w:link w:val="aa"/>
    <w:uiPriority w:val="99"/>
    <w:semiHidden/>
    <w:rsid w:val="00457B60"/>
    <w:rPr>
      <w:rFonts w:ascii="Tahoma" w:hAnsi="Tahoma" w:cs="Tahoma"/>
      <w:noProof/>
      <w:sz w:val="16"/>
      <w:szCs w:val="16"/>
    </w:rPr>
  </w:style>
  <w:style w:type="paragraph" w:styleId="af2">
    <w:name w:val="List Paragraph"/>
    <w:basedOn w:val="a"/>
    <w:uiPriority w:val="34"/>
    <w:qFormat/>
    <w:rsid w:val="00457B60"/>
    <w:pPr>
      <w:spacing w:after="160" w:line="256" w:lineRule="auto"/>
      <w:ind w:left="720"/>
      <w:contextualSpacing/>
    </w:pPr>
    <w:rPr>
      <w:rFonts w:asciiTheme="minorHAnsi" w:eastAsiaTheme="minorHAnsi" w:hAnsiTheme="minorHAnsi" w:cstheme="minorBidi"/>
      <w:noProof w:val="0"/>
      <w:sz w:val="22"/>
      <w:szCs w:val="22"/>
    </w:rPr>
  </w:style>
  <w:style w:type="character" w:styleId="af3">
    <w:name w:val="endnote reference"/>
    <w:basedOn w:val="a0"/>
    <w:uiPriority w:val="99"/>
    <w:semiHidden/>
    <w:unhideWhenUsed/>
    <w:rsid w:val="00457B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978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200D6D500054A5CB90EFA140DE863EC"/>
        <w:category>
          <w:name w:val="כללי"/>
          <w:gallery w:val="placeholder"/>
        </w:category>
        <w:types>
          <w:type w:val="bbPlcHdr"/>
        </w:types>
        <w:behaviors>
          <w:behavior w:val="content"/>
        </w:behaviors>
        <w:guid w:val="{87701093-032D-4BBD-B821-2FBF9F02389F}"/>
      </w:docPartPr>
      <w:docPartBody>
        <w:p w:rsidR="009133C7" w:rsidRDefault="00AA7CE3">
          <w:r w:rsidRPr="00D47A1C">
            <w:rPr>
              <w:rStyle w:val="a3"/>
              <w:rtl/>
            </w:rPr>
            <w:t>לחץ כאן להזנת טקסט</w:t>
          </w:r>
          <w:r w:rsidRPr="00D47A1C">
            <w:rPr>
              <w:rStyle w:val="a3"/>
            </w:rPr>
            <w:t>.</w:t>
          </w:r>
        </w:p>
      </w:docPartBody>
    </w:docPart>
    <w:docPart>
      <w:docPartPr>
        <w:name w:val="3F561D4BFFDF471193FC7A9EF7D9EF08"/>
        <w:category>
          <w:name w:val="כללי"/>
          <w:gallery w:val="placeholder"/>
        </w:category>
        <w:types>
          <w:type w:val="bbPlcHdr"/>
        </w:types>
        <w:behaviors>
          <w:behavior w:val="content"/>
        </w:behaviors>
        <w:guid w:val="{E6705003-BEC9-4BFE-AD96-D2EE75F54086}"/>
      </w:docPartPr>
      <w:docPartBody>
        <w:p w:rsidR="00345C9D" w:rsidRDefault="006377AB" w:rsidP="006377AB">
          <w:pPr>
            <w:pStyle w:val="E460D38E05664FF79D4EFF282EF8EC9927"/>
          </w:pPr>
          <w:r>
            <w:rPr>
              <w:rFonts w:hint="cs"/>
              <w:rtl/>
            </w:rPr>
            <w:t xml:space="preserve">     </w:t>
          </w:r>
        </w:p>
      </w:docPartBody>
    </w:docPart>
    <w:docPart>
      <w:docPartPr>
        <w:name w:val="6B01D334376C447FA369AC374BEBD3EE"/>
        <w:category>
          <w:name w:val="כללי"/>
          <w:gallery w:val="placeholder"/>
        </w:category>
        <w:types>
          <w:type w:val="bbPlcHdr"/>
        </w:types>
        <w:behaviors>
          <w:behavior w:val="content"/>
        </w:behaviors>
        <w:guid w:val="{F25FC101-A218-439C-A837-F781694DAA75}"/>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352DC6690A944068AB6F841458EBF1AC"/>
        <w:category>
          <w:name w:val="כללי"/>
          <w:gallery w:val="placeholder"/>
        </w:category>
        <w:types>
          <w:type w:val="bbPlcHdr"/>
        </w:types>
        <w:behaviors>
          <w:behavior w:val="content"/>
        </w:behaviors>
        <w:guid w:val="{ED2F7597-2FDA-430B-BBD2-BE771832D109}"/>
      </w:docPartPr>
      <w:docPartBody>
        <w:p w:rsidR="007E254A" w:rsidRDefault="006377AB" w:rsidP="006377AB">
          <w:pPr>
            <w:pStyle w:val="9DC4FF55E52B4E209349FC40470DD41815"/>
          </w:pPr>
          <w:r w:rsidRPr="00CD608F">
            <w:rPr>
              <w:rFonts w:hint="eastAsia"/>
              <w:b/>
              <w:bCs/>
              <w:sz w:val="26"/>
              <w:szCs w:val="26"/>
              <w:rtl/>
            </w:rPr>
            <w:t>בעניין</w:t>
          </w:r>
          <w:r w:rsidRPr="00CD608F">
            <w:rPr>
              <w:b/>
              <w:bCs/>
              <w:sz w:val="26"/>
              <w:szCs w:val="26"/>
              <w:rtl/>
            </w:rPr>
            <w:t xml:space="preserve"> שם משפחה</w:t>
          </w:r>
        </w:p>
      </w:docPartBody>
    </w:docPart>
    <w:docPart>
      <w:docPartPr>
        <w:name w:val="3055F393202D4ECE94967F9D02BCD509"/>
        <w:category>
          <w:name w:val="כללי"/>
          <w:gallery w:val="placeholder"/>
        </w:category>
        <w:types>
          <w:type w:val="bbPlcHdr"/>
        </w:types>
        <w:behaviors>
          <w:behavior w:val="content"/>
        </w:behaviors>
        <w:guid w:val="{D15B412D-92C0-43CE-9B58-3B57FD93F3B5}"/>
      </w:docPartPr>
      <w:docPartBody>
        <w:p w:rsidR="007E254A" w:rsidRDefault="006377AB" w:rsidP="006377AB">
          <w:pPr>
            <w:pStyle w:val="112E7BE5CCF64A68A3D497F283A4D69515"/>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C130C15993FE45CCA316CF10C8FF642D"/>
        <w:category>
          <w:name w:val="כללי"/>
          <w:gallery w:val="placeholder"/>
        </w:category>
        <w:types>
          <w:type w:val="bbPlcHdr"/>
        </w:types>
        <w:behaviors>
          <w:behavior w:val="content"/>
        </w:behaviors>
        <w:guid w:val="{F8BA6E00-EFF2-40C8-AA34-0C730DE7F037}"/>
      </w:docPartPr>
      <w:docPartBody>
        <w:p w:rsidR="005157ED" w:rsidRDefault="006377AB" w:rsidP="006377AB">
          <w:pPr>
            <w:pStyle w:val="ECC435E5782A4F3FB39457279E24BE8813"/>
          </w:pPr>
          <w:r>
            <w:rPr>
              <w:b/>
              <w:bCs/>
              <w:sz w:val="26"/>
              <w:szCs w:val="26"/>
              <w:rtl/>
            </w:rPr>
            <w:t>בעניין מספר זיהוי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973FBD" w:rsidRDefault="0053585A">
          <w:pPr>
            <w:pStyle w:val="352DC6690A944068AB6F841458EBF1AC"/>
          </w:pPr>
          <w:r>
            <w:rPr>
              <w:b/>
              <w:bCs/>
              <w:rtl/>
            </w:rPr>
            <w:t>תאור קבוצת שיכות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21DE2"/>
    <w:rsid w:val="001D696D"/>
    <w:rsid w:val="002D02C4"/>
    <w:rsid w:val="00345C9D"/>
    <w:rsid w:val="0048651F"/>
    <w:rsid w:val="005157ED"/>
    <w:rsid w:val="005171E8"/>
    <w:rsid w:val="0053585A"/>
    <w:rsid w:val="00556D67"/>
    <w:rsid w:val="006377AB"/>
    <w:rsid w:val="00793995"/>
    <w:rsid w:val="007C6F98"/>
    <w:rsid w:val="007E254A"/>
    <w:rsid w:val="00817811"/>
    <w:rsid w:val="008B4366"/>
    <w:rsid w:val="009133C7"/>
    <w:rsid w:val="009178E4"/>
    <w:rsid w:val="00961B27"/>
    <w:rsid w:val="00973FBD"/>
    <w:rsid w:val="009A4BEE"/>
    <w:rsid w:val="00A51CA1"/>
    <w:rsid w:val="00AA7CE3"/>
    <w:rsid w:val="00AD53D7"/>
    <w:rsid w:val="00B50DB2"/>
    <w:rsid w:val="00B91FA3"/>
    <w:rsid w:val="00BE6557"/>
    <w:rsid w:val="00C96C06"/>
    <w:rsid w:val="00CE1DCB"/>
    <w:rsid w:val="00D24521"/>
    <w:rsid w:val="00D47564"/>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200D6D500054A5CB90EFA140DE863EC">
    <w:name w:val="B200D6D500054A5CB90EFA140DE863EC"/>
    <w:pPr>
      <w:bidi/>
    </w:pPr>
  </w:style>
  <w:style w:type="paragraph" w:customStyle="1" w:styleId="3F561D4BFFDF471193FC7A9EF7D9EF08">
    <w:name w:val="3F561D4BFFDF471193FC7A9EF7D9EF08"/>
    <w:pPr>
      <w:bidi/>
    </w:pPr>
  </w:style>
  <w:style w:type="paragraph" w:customStyle="1" w:styleId="6B01D334376C447FA369AC374BEBD3EE">
    <w:name w:val="6B01D334376C447FA369AC374BEBD3EE"/>
    <w:pPr>
      <w:bidi/>
    </w:pPr>
  </w:style>
  <w:style w:type="paragraph" w:customStyle="1" w:styleId="E5C8D47108A44C88BF37097D56092938">
    <w:name w:val="E5C8D47108A44C88BF37097D56092938"/>
    <w:pPr>
      <w:bidi/>
    </w:pPr>
  </w:style>
  <w:style w:type="paragraph" w:customStyle="1" w:styleId="C7695AFF93B84AEDA560A537F3E8E292">
    <w:name w:val="C7695AFF93B84AEDA560A537F3E8E292"/>
    <w:pPr>
      <w:bidi/>
    </w:pPr>
  </w:style>
  <w:style w:type="paragraph" w:customStyle="1" w:styleId="352DC6690A944068AB6F841458EBF1AC">
    <w:name w:val="352DC6690A944068AB6F841458EBF1AC"/>
    <w:pPr>
      <w:bidi/>
    </w:pPr>
  </w:style>
  <w:style w:type="paragraph" w:customStyle="1" w:styleId="3055F393202D4ECE94967F9D02BCD509">
    <w:name w:val="3055F393202D4ECE94967F9D02BCD509"/>
    <w:pPr>
      <w:bidi/>
    </w:pPr>
  </w:style>
  <w:style w:type="paragraph" w:customStyle="1" w:styleId="C130C15993FE45CCA316CF10C8FF642D">
    <w:name w:val="C130C15993FE45CCA316CF10C8FF642D"/>
    <w:pPr>
      <w:bidi/>
    </w:pPr>
  </w:style>
  <w:style w:type="paragraph" w:customStyle="1" w:styleId="DC18E6258718473280B8AECBFC3DF0CE">
    <w:name w:val="DC18E6258718473280B8AECBFC3DF0CE"/>
    <w:pPr>
      <w:bidi/>
    </w:pPr>
  </w:style>
  <w:style w:type="paragraph" w:customStyle="1" w:styleId="335AA15B56E24A9E93BEFE705B6C38AB">
    <w:name w:val="335AA15B56E24A9E93BEFE705B6C38AB"/>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אלפרד סאדר</FullName>
        <FirstName>אלפרד</FirstName>
        <LastName>סאדר</LastName>
        <PartyPropertyName/>
        <AuthenticationTypeAndNumber>מ.ר. 11350</AuthenticationTypeAndNumber>
        <RepresentatedOrRepresentativesNames>והיב מיכאיל, עזבון המנוח מיכאל עבד</RepresentatedOrRepresentativesNames>
        <RepresentatedOrRepresentativesCount>2</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264072486</CasePartyID>
        <PartyTypeID>2</PartyTypeID>
        <ActivityStatusID>1</ActivityStatusID>
        <PartyAliasID>23</PartyAliasID>
        <PartyAliasName>בא כוח משיבים</PartyAliasName>
        <LegalEntityID>387047</LegalEntityID>
        <CaseLegalEntityID>127098065</CaseLegalEntityID>
        <AuthenticationTypeID>4</AuthenticationTypeID>
        <AuthenticationTypeName>מ.ר.</AuthenticationTypeName>
        <LegalEntityNumber>11350</LegalEntityNumber>
        <IsMainPartyType>true</IsMainPartyType>
        <CaseDisplayIdentifier>51377-12-23</CaseDisplayIdentifier>
        <CaseTypeID>63</CaseTypeID>
        <CaseTypeName>ערעור משפחה (עמ"ש)</CaseTypeName>
        <CaseName>מיכאיל עבד נ' מיכאל עבד(המנוח) ואח'</CaseName>
        <FullAddress>כיאט 3 א' חיפה ת.ד 33375</FullAddress>
        <EmailAddress>alfredsader240@gmail.com</EmailAddress>
        <MotionID>0</MotionID>
        <CasePleaID>0</CasePleaID>
        <FatherName xml:space="preserve">        </FatherName>
        <LinkedCaseID>0</LinkedCaseID>
        <PartyID>2</PartyID>
        <CasePartyCategoryID>2</CasePartyCategoryID>
        <LegalEntityAddressID>84268602</LegalEntityAddressID>
        <LegalEntityEmailAddressID>67860867</LegalEntityEmailAddressID>
        <PleaTypeID>6</PleaTypeID>
        <LawyerOfficeName>משרד עו"ד: אלפרד סאדר</LawyerOfficeName>
        <LawyerOfficeID>427691</LawyerOfficeID>
        <GroupPartyAlias/>
        <IsConverted>false</IsConverted>
        <LegalEntityNameID>8031</LegalEntityNameID>
        <RepresentatedNamesOfAssistant/>
        <LegalEntityTypeID>4</LegalEntityTypeID>
        <IsVerdictExists>false</IsVerdictExists>
        <IsAsirAzir>false</IsAsirAzir>
        <MainAndSecSpec/>
        <IsPublicationProhibited>false</IsPublicationProhibited>
        <PublicationProhibitedFullName>אלפרד סאדר</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מוניב מיכאיל עבד</FullName>
        <FirstName>מוניב</FirstName>
        <LastName>מיכאיל עבד</LastName>
        <PartyPropertyName/>
        <AuthenticationTypeAndNumber>ת"ז </AuthenticationTypeAndNumber>
        <RepresentatedOrRepresentativesNames>ויטולד איראני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264069220</CasePartyID>
        <PartyTypeID>1</PartyTypeID>
        <ActivityStatusID>1</ActivityStatusID>
        <PartyAliasID>5</PartyAliasID>
        <PartyAliasName>מערער</PartyAliasName>
        <OrdinalNumber>1</OrdinalNumber>
        <LegalEntityID>75642625</LegalEntityID>
        <CaseLegalEntityID>127096739</CaseLegalEntityID>
        <AuthenticationTypeID>1</AuthenticationTypeID>
        <AuthenticationTypeName>ת"ז</AuthenticationTypeName>
        <IsMainPartyType>true</IsMainPartyType>
        <CaseDisplayIdentifier>51377-12-23</CaseDisplayIdentifier>
        <CaseTypeID>63</CaseTypeID>
        <CaseTypeName>ערעור משפחה (עמ"ש)</CaseTypeName>
        <CaseName>מיכאיל עבד נ' מיכאל עבד(המנוח) ואח'</CaseName>
        <FullAddress>מעיליא </FullAddress>
        <MotionID>0</MotionID>
        <CasePleaID>0</CasePleaID>
        <LinkedCaseID>0</LinkedCaseID>
        <PartyID>1</PartyID>
        <CasePartyCategoryID>2</CasePartyCategoryID>
        <LegalEntityAddressID>88753337</LegalEntityAddressID>
        <PleaTypeID>6</PleaTypeID>
        <GroupPartyAlias>מערערים</GroupPartyAlias>
        <IsConverted>false</IsConverted>
        <LegalEntityNameID>82343655</LegalEntityNameID>
        <RepresentatedNamesOfAssistant/>
        <LegalEntityTypeID>1</LegalEntityTypeID>
        <IsVerdictExists>false</IsVerdictExists>
        <IsAsirAzir>false</IsAsirAzir>
        <MainAndSecSpec/>
        <IsPublicationProhibited>false</IsPublicationProhibited>
        <PublicationProhibitedFullName>מוניב מיכאיל עבד</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ויטולד איראני</FullName>
        <FirstName>ויטולד</FirstName>
        <LastName>איראני</LastName>
        <PartyPropertyName/>
        <AuthenticationTypeAndNumber>מ.ר. 13897</AuthenticationTypeAndNumber>
        <RepresentatedOrRepresentativesNames>מוניב מיכאיל עבד</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264069225</CasePartyID>
        <PartyTypeID>2</PartyTypeID>
        <ActivityStatusID>1</ActivityStatusID>
        <PartyAliasID>24</PartyAliasID>
        <PartyAliasName>בא כוח מערערים</PartyAliasName>
        <OrdinalNumber>1</OrdinalNumber>
        <LegalEntityID>383174</LegalEntityID>
        <CaseLegalEntityID>127096744</CaseLegalEntityID>
        <AuthenticationTypeID>4</AuthenticationTypeID>
        <AuthenticationTypeName>מ.ר.</AuthenticationTypeName>
        <LegalEntityNumber>13897</LegalEntityNumber>
        <IsMainPartyType>true</IsMainPartyType>
        <CaseDisplayIdentifier>51377-12-23</CaseDisplayIdentifier>
        <CaseTypeID>63</CaseTypeID>
        <CaseTypeName>ערעור משפחה (עמ"ש)</CaseTypeName>
        <CaseName>מיכאיל עבד נ' מיכאל עבד(המנוח) ואח'</CaseName>
        <FullAddress>שד' בן גוריון 33 חיפה </FullAddress>
        <MotionID>0</MotionID>
        <CasePleaID>0</CasePleaID>
        <LinkedCaseID>0</LinkedCaseID>
        <PartyID>1</PartyID>
        <CasePartyCategoryID>2</CasePartyCategoryID>
        <LegalEntityAddressID>421330</LegalEntityAddressID>
        <PleaTypeID>6</PleaTypeID>
        <LawyerOfficeName>איראני ויטולד עורכי דין</LawyerOfficeName>
        <LawyerOfficeID>418992</LawyerOfficeID>
        <GroupPartyAlias/>
        <IsConverted>false</IsConverted>
        <LegalEntityNameID>4158</LegalEntityNameID>
        <RepresentatedNamesOfAssistant/>
        <LegalEntityTypeID>4</LegalEntityTypeID>
        <IsVerdictExists>false</IsVerdictExists>
        <IsAsirAzir>false</IsAsirAzir>
        <MainAndSecSpec/>
        <IsPublicationProhibited>false</IsPublicationProhibited>
        <PublicationProhibitedFullName>ויטולד איראני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עימאד חמאיסי</FullName>
        <FirstName>עימאד</FirstName>
        <LastName>חמאיסי</LastName>
        <PartyPropertyName/>
        <AuthenticationTypeAndNumber>מ.ר. 19108</AuthenticationTypeAndNumber>
        <RepresentatedOrRepresentativesNames>עזבון המנוח סלים מיכאל עבד, עאידה עבד, ענאן עבד, רנין עבד, בהיה עבד זנד, ניבין עבד ח'ורי</RepresentatedOrRepresentativesNames>
        <RepresentatedOrRepresentativesCount>6</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264072495</CasePartyID>
        <PartyTypeID>2</PartyTypeID>
        <ActivityStatusID>1</ActivityStatusID>
        <PartyAliasID>23</PartyAliasID>
        <PartyAliasName>בא כוח משיבים</PartyAliasName>
        <OrdinalNumber>1</OrdinalNumber>
        <LegalEntityID>383293</LegalEntityID>
        <CaseLegalEntityID>127098067</CaseLegalEntityID>
        <AuthenticationTypeID>4</AuthenticationTypeID>
        <AuthenticationTypeName>מ.ר.</AuthenticationTypeName>
        <LegalEntityNumber>19108</LegalEntityNumber>
        <IsMainPartyType>true</IsMainPartyType>
        <CaseDisplayIdentifier>51377-12-23</CaseDisplayIdentifier>
        <CaseTypeID>63</CaseTypeID>
        <CaseTypeName>ערעור משפחה (עמ"ש)</CaseTypeName>
        <CaseName>מיכאיל עבד נ' מיכאל עבד(המנוח) ואח'</CaseName>
        <FullAddress>ת.ד 2147 כפר כנא ת.ד 2147</FullAddress>
        <EmailAddress>emad.khamaysi@gmail.com</EmailAddress>
        <MotionID>0</MotionID>
        <CasePleaID>0</CasePleaID>
        <LinkedCaseID>0</LinkedCaseID>
        <PartyID>2</PartyID>
        <CasePartyCategoryID>2</CasePartyCategoryID>
        <LegalEntityAddressID>80347977</LegalEntityAddressID>
        <LegalEntityEmailAddressID>68074747</LegalEntityEmailAddressID>
        <PleaTypeID>6</PleaTypeID>
        <LawyerOfficeName>משרד עו"ד: עימאד חמאיסי</LawyerOfficeName>
        <LawyerOfficeID>423937</LawyerOfficeID>
        <GroupPartyAlias/>
        <IsConverted>false</IsConverted>
        <LegalEntityNameID>4277</LegalEntityNameID>
        <RepresentatedNamesOfAssistant/>
        <LegalEntityTypeID>4</LegalEntityTypeID>
        <IsVerdictExists>false</IsVerdictExists>
        <IsAsirAzir>false</IsAsirAzir>
        <MainAndSecSpec/>
        <IsPublicationProhibited>false</IsPublicationProhibited>
        <PublicationProhibitedFullName>עימאד חמאיסי</PublicationProhibitedFullName>
      </CaseParties>
      <CaseParties>
        <PartyTypeName>צד</PartyTypeName>
        <ProceedingType>כתב טענות עיקרי</ProceedingType>
        <PleaName>הודעת ערעור</PleaName>
        <PartyBelonging>צד ב'</PartyBelonging>
        <RoleName>משיב 1 - משיב</RoleName>
        <IsSubProceeding>FALSE</IsSubProceeding>
        <FullName>עזבון המנוח מיכאל עבד (המנוח)</FullName>
        <FirstName>עזבון המנוח</FirstName>
        <LastName>מיכאל עבד</LastName>
        <PartyPropertyID>12</PartyPropertyID>
        <PartyPropertyName/>
        <AuthenticationTypeAndNumber>ת"ז 020854766</AuthenticationTypeAndNumber>
        <RepresentatedOrRepresentativesNames>אלפרד סאדר</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264069223</CasePartyID>
        <PartyTypeID>1</PartyTypeID>
        <ActivityStatusID>1</ActivityStatusID>
        <PartyAliasID>4</PartyAliasID>
        <PartyAliasName>משיב</PartyAliasName>
        <OrdinalNumber>1</OrdinalNumber>
        <LegalEntityID>69541821</LegalEntityID>
        <CaseLegalEntityID>127096742</CaseLegalEntityID>
        <AuthenticationTypeID>1</AuthenticationTypeID>
        <AuthenticationTypeName>ת"ז</AuthenticationTypeName>
        <LegalEntityNumber>020854766</LegalEntityNumber>
        <IsMainPartyType>true</IsMainPartyType>
        <CaseDisplayIdentifier>51377-12-23</CaseDisplayIdentifier>
        <CaseTypeID>63</CaseTypeID>
        <CaseTypeName>ערעור משפחה (עמ"ש)</CaseTypeName>
        <CaseName>מיכאיל עבד נ' מיכאל עבד(המנוח) ואח'</CaseName>
        <FullAddress/>
        <MotionID>0</MotionID>
        <CasePleaID>0</CasePleaID>
        <FatherName>סלים</FatherName>
        <LinkedCaseID>0</LinkedCaseID>
        <PartyID>2</PartyID>
        <CasePartyCategoryID>2</CasePartyCategoryID>
        <PleaTypeID>6</PleaTypeID>
        <GroupPartyAlias>משיבים</GroupPartyAlias>
        <IsConverted>false</IsConverted>
        <LegalEntityNameID>95897027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עזבון המנוח מיכאל עבד (המנוח)</PublicationProhibitedFullName>
      </CaseParties>
      <CaseParties>
        <PartyTypeName>צד</PartyTypeName>
        <ProceedingType>כתב טענות עיקרי</ProceedingType>
        <PleaName>הודעת ערעור</PleaName>
        <PartyBelonging>צד ב'</PartyBelonging>
        <RoleName>משיב 2 - משיב</RoleName>
        <IsSubProceeding>FALSE</IsSubProceeding>
        <FullName>והיב מיכאיל</FullName>
        <FirstName>והיב</FirstName>
        <LastName>מיכאיל</LastName>
        <PartyPropertyName/>
        <AuthenticationTypeAndNumber>ת"ז </AuthenticationTypeAndNumber>
        <RepresentatedOrRepresentativesNames>אלפרד סאדר</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264069224</CasePartyID>
        <PartyTypeID>1</PartyTypeID>
        <ActivityStatusID>1</ActivityStatusID>
        <PartyAliasID>4</PartyAliasID>
        <PartyAliasName>משיב</PartyAliasName>
        <OrdinalNumber>2</OrdinalNumber>
        <LegalEntityID>75642594</LegalEntityID>
        <CaseLegalEntityID>127096743</CaseLegalEntityID>
        <AuthenticationTypeID>1</AuthenticationTypeID>
        <AuthenticationTypeName>ת"ז</AuthenticationTypeName>
        <IsMainPartyType>true</IsMainPartyType>
        <CaseDisplayIdentifier>51377-12-23</CaseDisplayIdentifier>
        <CaseTypeID>63</CaseTypeID>
        <CaseTypeName>ערעור משפחה (עמ"ש)</CaseTypeName>
        <CaseName>מיכאיל עבד נ' מיכאל עבד(המנוח) ואח'</CaseName>
        <FullAddress>מעיליא </FullAddress>
        <MotionID>0</MotionID>
        <CasePleaID>0</CasePleaID>
        <LinkedCaseID>0</LinkedCaseID>
        <PartyID>2</PartyID>
        <CasePartyCategoryID>2</CasePartyCategoryID>
        <LegalEntityAddressID>88753363</LegalEntityAddressID>
        <PleaTypeID>6</PleaTypeID>
        <GroupPartyAlias>משיבים</GroupPartyAlias>
        <IsConverted>false</IsConverted>
        <LegalEntityNameID>82343600</LegalEntityNameID>
        <RepresentatedNamesOfAssistant/>
        <LegalEntityTypeID>1</LegalEntityTypeID>
        <IsVerdictExists>false</IsVerdictExists>
        <IsAsirAzir>false</IsAsirAzir>
        <MainAndSecSpec/>
        <IsPublicationProhibited>false</IsPublicationProhibited>
        <PublicationProhibitedFullName>והיב מיכאיל</PublicationProhibitedFullName>
      </CaseParties>
      <CaseParties>
        <PartyTypeName>צד</PartyTypeName>
        <ProceedingType>כתב טענות עיקרי</ProceedingType>
        <PleaName>הודעת ערעור</PleaName>
        <PartyBelonging>צד ב'</PartyBelonging>
        <RoleName>משיב 3 - מבקש</RoleName>
        <IsSubProceeding>FALSE</IsSubProceeding>
        <FullName>עזבון המנוח סלים מיכאל עבד (המנוח)</FullName>
        <FirstName>עזבון המנוח</FirstName>
        <LastName>סלים מיכאל עבד</LastName>
        <PartyPropertyID>12</PartyPropertyID>
        <PartyPropertyName/>
        <AuthenticationTypeAndNumber>ת"ז </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264069221</CasePartyID>
        <PartyTypeID>1</PartyTypeID>
        <ActivityStatusID>1</ActivityStatusID>
        <PartyAliasID>4</PartyAliasID>
        <PartyAliasName>משיב</PartyAliasName>
        <OrdinalNumber>3</OrdinalNumber>
        <LegalEntityID>75642593</LegalEntityID>
        <CaseLegalEntityID>127096740</CaseLegalEntityID>
        <AuthenticationTypeID>1</AuthenticationTypeID>
        <AuthenticationTypeName>ת"ז</AuthenticationTypeName>
        <IsMainPartyType>true</IsMainPartyType>
        <CaseDisplayIdentifier>51377-12-23</CaseDisplayIdentifier>
        <CaseTypeID>63</CaseTypeID>
        <CaseTypeName>ערעור משפחה (עמ"ש)</CaseTypeName>
        <CaseName>מיכאיל עבד נ' מיכאל עבד(המנוח) ואח'</CaseName>
        <FullAddress/>
        <MotionID>0</MotionID>
        <CasePleaID>0</CasePleaID>
        <LinkedCaseID>0</LinkedCaseID>
        <PartyID>2</PartyID>
        <CasePartyCategoryID>2</CasePartyCategoryID>
        <PleaTypeID>6</PleaTypeID>
        <GroupPartyAlias>משיבים</GroupPartyAlias>
        <IsConverted>false</IsConverted>
        <LegalEntityNameID>95897064</LegalEntityNameID>
        <RepresentatedNamesOfAssistant/>
        <LegalEntityTypeID>1</LegalEntityTypeID>
        <IsVerdictExists>false</IsVerdictExists>
        <IsAsirAzir>false</IsAsirAzir>
        <MainAndSecSpec/>
        <IsPublicationProhibited>false</IsPublicationProhibited>
        <PublicationProhibitedFullName>עזבון המנוח סלים מיכאל עבד (המנוח)</PublicationProhibitedFullName>
      </CaseParties>
      <CaseParties>
        <PartyTypeName>צד</PartyTypeName>
        <ProceedingType>כתב טענות עיקרי</ProceedingType>
        <PleaName>הודעת ערעור</PleaName>
        <PartyBelonging>צד ב'</PartyBelonging>
        <RoleName>משיב 5</RoleName>
        <IsSubProceeding>FALSE</IsSubProceeding>
        <FullName>עאידה עבד</FullName>
        <FirstName>עאידה</FirstName>
        <LastName>עבד</LastName>
        <PartyPropertyName/>
        <AuthenticationTypeAndNumber>ת"ז 035328525</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264073611</CasePartyID>
        <PartyTypeID>1</PartyTypeID>
        <ActivityStatusID>1</ActivityStatusID>
        <PartyAliasID>4</PartyAliasID>
        <PartyAliasName>משיב</PartyAliasName>
        <OrdinalNumber>5</OrdinalNumber>
        <LegalEntityID>3743548</LegalEntityID>
        <CaseLegalEntityID>127098418</CaseLegalEntityID>
        <AuthenticationTypeID>1</AuthenticationTypeID>
        <AuthenticationTypeName>ת"ז</AuthenticationTypeName>
        <LegalEntityNumber>035328525</LegalEntityNumber>
        <IsMainPartyType>true</IsMainPartyType>
        <CaseDisplayIdentifier>51377-12-23</CaseDisplayIdentifier>
        <CaseTypeID>63</CaseTypeID>
        <CaseTypeName>ערעור משפחה (עמ"ש)</CaseTypeName>
        <CaseName>מיכאיל עבד נ' מיכאל עבד(המנוח) ואח'</CaseName>
        <FullAddress>. מעיליא </FullAddress>
        <EmailAddress>saleem29@bazaqint.net</EmailAddress>
        <MotionID>0</MotionID>
        <CasePleaID>0</CasePleaID>
        <FatherName>מוהנא</FatherName>
        <LinkedCaseID>0</LinkedCaseID>
        <PartyID>2</PartyID>
        <CasePartyCategoryID>2</CasePartyCategoryID>
        <LegalEntityAddressID>88753879</LegalEntityAddressID>
        <LegalEntityEmailAddressID>68335062</LegalEntityEmailAddressID>
        <PleaTypeID>6</PleaTypeID>
        <GroupPartyAlias>משיבים</GroupPartyAlias>
        <IsConverted>false</IsConverted>
        <LegalEntityRegisteredNameID>10597261</LegalEntityRegisteredNameID>
        <LegalEntityNameID>95897662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עאידה עבד</PublicationProhibitedFullName>
      </CaseParties>
      <CaseParties>
        <PartyTypeName>צד</PartyTypeName>
        <ProceedingType>כתב טענות עיקרי</ProceedingType>
        <PleaName>הודעת ערעור</PleaName>
        <PartyBelonging>צד ב'</PartyBelonging>
        <RoleName>משיב 6</RoleName>
        <IsSubProceeding>FALSE</IsSubProceeding>
        <FullName>ענאן עבד</FullName>
        <FirstName>ענאן</FirstName>
        <LastName>עבד</LastName>
        <PartyPropertyName/>
        <AuthenticationTypeAndNumber>ת"ז 026182303</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264073932</CasePartyID>
        <PartyTypeID>1</PartyTypeID>
        <ActivityStatusID>1</ActivityStatusID>
        <PartyAliasID>4</PartyAliasID>
        <PartyAliasName>משיב</PartyAliasName>
        <OrdinalNumber>6</OrdinalNumber>
        <LegalEntityID>3727900</LegalEntityID>
        <CaseLegalEntityID>127098513</CaseLegalEntityID>
        <AuthenticationTypeID>1</AuthenticationTypeID>
        <AuthenticationTypeName>ת"ז</AuthenticationTypeName>
        <LegalEntityNumber>026182303</LegalEntityNumber>
        <IsMainPartyType>true</IsMainPartyType>
        <CaseDisplayIdentifier>51377-12-23</CaseDisplayIdentifier>
        <CaseTypeID>63</CaseTypeID>
        <CaseTypeName>ערעור משפחה (עמ"ש)</CaseTypeName>
        <CaseName>מיכאיל עבד נ' מיכאל עבד(המנוח) ואח'</CaseName>
        <FullAddress>יפו 33 ירושלים </FullAddress>
        <EmailAddress>anan@sabed.co.il</EmailAddress>
        <MotionID>0</MotionID>
        <CasePleaID>0</CasePleaID>
        <FatherName>סלים</FatherName>
        <LinkedCaseID>0</LinkedCaseID>
        <PartyID>2</PartyID>
        <CasePartyCategoryID>2</CasePartyCategoryID>
        <LegalEntityAddressID>88753910</LegalEntityAddressID>
        <LegalEntityEmailAddressID>68335066</LegalEntityEmailAddressID>
        <PleaTypeID>6</PleaTypeID>
        <GroupPartyAlias>משיבים</GroupPartyAlias>
        <IsConverted>false</IsConverted>
        <LegalEntityRegisteredNameID>418772</LegalEntityRegisteredNameID>
        <LegalEntityNameID>95897698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ענאן עבד</PublicationProhibitedFullName>
      </CaseParties>
      <CaseParties>
        <PartyTypeName>צד</PartyTypeName>
        <ProceedingType>כתב טענות עיקרי</ProceedingType>
        <PleaName>הודעת ערעור</PleaName>
        <PartyBelonging>צד ב'</PartyBelonging>
        <RoleName>משיב 7</RoleName>
        <IsSubProceeding>FALSE</IsSubProceeding>
        <FullName>ניבין עבד ח'ורי</FullName>
        <FirstName>ניבין</FirstName>
        <LastName>ח'ורי</LastName>
        <PartyPropertyName/>
        <AuthenticationTypeAndNumber>ת"ז 034429647</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264074081</CasePartyID>
        <PartyTypeID>1</PartyTypeID>
        <ActivityStatusID>1</ActivityStatusID>
        <PartyAliasID>4</PartyAliasID>
        <PartyAliasName>משיב</PartyAliasName>
        <OrdinalNumber>7</OrdinalNumber>
        <LegalEntityID>81520604</LegalEntityID>
        <CaseLegalEntityID>127098557</CaseLegalEntityID>
        <AuthenticationTypeID>1</AuthenticationTypeID>
        <AuthenticationTypeName>ת"ז</AuthenticationTypeName>
        <LegalEntityNumber>034429647</LegalEntityNumber>
        <IsMainPartyType>true</IsMainPartyType>
        <CaseDisplayIdentifier>51377-12-23</CaseDisplayIdentifier>
        <CaseTypeID>63</CaseTypeID>
        <CaseTypeName>ערעור משפחה (עמ"ש)</CaseTypeName>
        <CaseName>מיכאיל עבד נ' מיכאל עבד(המנוח) ואח'</CaseName>
        <FullAddress>תרשיחא </FullAddress>
        <EmailAddress>neveen68@yahoo.com</EmailAddress>
        <MotionID>0</MotionID>
        <CasePleaID>0</CasePleaID>
        <BirthDate>1978-03-15T00:00:00+02:00</BirthDate>
        <FatherName>סלים</FatherName>
        <LinkedCaseID>0</LinkedCaseID>
        <PartyID>2</PartyID>
        <CasePartyCategoryID>2</CasePartyCategoryID>
        <LegalEntityAddressID>88753927</LegalEntityAddressID>
        <LegalEntityEmailAddressID>68335069</LegalEntityEmailAddressID>
        <GrandfatherName/>
        <DrivingLicenseNumber>6918102</DrivingLicenseNumber>
        <PleaTypeID>6</PleaTypeID>
        <GroupPartyAlias>משיבים</GroupPartyAlias>
        <IsConverted>false</IsConverted>
        <LegalEntityRegisteredNameID>10535295</LegalEntityRegisteredNameID>
        <LegalEntityNameID>95897714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ניבין עבד ח'ורי</PublicationProhibitedFullName>
      </CaseParties>
      <CaseParties>
        <PartyTypeName>צד</PartyTypeName>
        <ProceedingType>כתב טענות עיקרי</ProceedingType>
        <PleaName>הודעת ערעור</PleaName>
        <PartyBelonging>צד ב'</PartyBelonging>
        <RoleName>משיב 8</RoleName>
        <IsSubProceeding>FALSE</IsSubProceeding>
        <FullName>רנין עבד</FullName>
        <FirstName>רנין</FirstName>
        <LastName>עבד</LastName>
        <PartyPropertyName/>
        <AuthenticationTypeAndNumber>ת"ז 062841580</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264074174</CasePartyID>
        <PartyTypeID>1</PartyTypeID>
        <ActivityStatusID>1</ActivityStatusID>
        <PartyAliasID>4</PartyAliasID>
        <PartyAliasName>משיב</PartyAliasName>
        <OrdinalNumber>8</OrdinalNumber>
        <LegalEntityID>12755480</LegalEntityID>
        <CaseLegalEntityID>127098580</CaseLegalEntityID>
        <AuthenticationTypeID>1</AuthenticationTypeID>
        <AuthenticationTypeName>ת"ז</AuthenticationTypeName>
        <LegalEntityNumber>062841580</LegalEntityNumber>
        <IsMainPartyType>true</IsMainPartyType>
        <CaseDisplayIdentifier>51377-12-23</CaseDisplayIdentifier>
        <CaseTypeID>63</CaseTypeID>
        <CaseTypeName>ערעור משפחה (עמ"ש)</CaseTypeName>
        <CaseName>מיכאיל עבד נ' מיכאל עבד(המנוח) ואח'</CaseName>
        <FullAddress>. מעיליא </FullAddress>
        <EmailAddress>raneenm82@gmail.com</EmailAddress>
        <MotionID>0</MotionID>
        <CasePleaID>0</CasePleaID>
        <FatherName>סלים</FatherName>
        <LinkedCaseID>0</LinkedCaseID>
        <PartyID>2</PartyID>
        <CasePartyCategoryID>2</CasePartyCategoryID>
        <LegalEntityAddressID>88753935</LegalEntityAddressID>
        <LegalEntityEmailAddressID>68335071</LegalEntityEmailAddressID>
        <PleaTypeID>6</PleaTypeID>
        <GroupPartyAlias>משיבים</GroupPartyAlias>
        <IsConverted>false</IsConverted>
        <LegalEntityRegisteredNameID>493168</LegalEntityRegisteredNameID>
        <LegalEntityNameID>95897724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רנין עבד</PublicationProhibitedFullName>
      </CaseParties>
      <CaseParties>
        <PartyTypeName>צד</PartyTypeName>
        <ProceedingType>כתב טענות עיקרי</ProceedingType>
        <PleaName>הודעת ערעור</PleaName>
        <PartyBelonging>צד ב'</PartyBelonging>
        <RoleName>משיב 9</RoleName>
        <IsSubProceeding>FALSE</IsSubProceeding>
        <FullName>בהיה עבד זנד</FullName>
        <FirstName>בהיה</FirstName>
        <LastName>עבד זנד</LastName>
        <PartyPropertyName/>
        <AuthenticationTypeAndNumber>ת"ז 026510594</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264074259</CasePartyID>
        <PartyTypeID>1</PartyTypeID>
        <ActivityStatusID>1</ActivityStatusID>
        <PartyAliasID>4</PartyAliasID>
        <PartyAliasName>משיב</PartyAliasName>
        <OrdinalNumber>9</OrdinalNumber>
        <LegalEntityID>72314031</LegalEntityID>
        <CaseLegalEntityID>127098619</CaseLegalEntityID>
        <AuthenticationTypeID>1</AuthenticationTypeID>
        <AuthenticationTypeName>ת"ז</AuthenticationTypeName>
        <LegalEntityNumber>026510594</LegalEntityNumber>
        <IsMainPartyType>true</IsMainPartyType>
        <CaseDisplayIdentifier>51377-12-23</CaseDisplayIdentifier>
        <CaseTypeID>63</CaseTypeID>
        <CaseTypeName>ערעור משפחה (עמ"ש)</CaseTypeName>
        <CaseName>מיכאיל עבד נ' מיכאל עבד(המנוח) ואח'</CaseName>
        <FullAddress>אלמוג 16 חיפה </FullAddress>
        <EmailAddress>bouba.abed@gmail.com</EmailAddress>
        <MotionID>0</MotionID>
        <CasePleaID>0</CasePleaID>
        <FatherName>סלים</FatherName>
        <LinkedCaseID>0</LinkedCaseID>
        <PartyID>2</PartyID>
        <CasePartyCategoryID>2</CasePartyCategoryID>
        <LegalEntityAddressID>88753955</LegalEntityAddressID>
        <LegalEntityEmailAddressID>68335074</LegalEntityEmailAddressID>
        <PleaTypeID>6</PleaTypeID>
        <GroupPartyAlias>משיבים</GroupPartyAlias>
        <IsConverted>false</IsConverted>
        <LegalEntityNameID>95897746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בהיה עבד זנד</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2024-07-17T10:45:29.9794276+03:00</DecisionSignatureDate>
    <OpenCaseDate>2023-12-25T07:19:00+02:00</OpenCaseDate>
    <CaseFeeSum>0.000</CaseFeeSum>
    <DecisionTypeID>2</DecisionTypeID>
    <DecisionSignatureUserName>חננאל שרעבי</DecisionSignatureUserName>
    <DecisionSignatureDateHebrew>2024-07-17T10:45:29.9794276+03:00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מיכאיל עבד נ' מיכאל עבד(המנוח) ואח'</CaseName>
    <DecisionNumberInCase>10</DecisionNumberInCase>
  </dt_Decision>
  <dt_DecisionCase>
    <DecisionID>0</DecisionID>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אלפרד סאדר</FullName>
        <FirstName>אלפרד</FirstName>
        <LastName>סאדר</LastName>
        <PartyPropertyName/>
        <AuthenticationTypeAndNumber>מ.ר. 11350</AuthenticationTypeAndNumber>
        <RepresentatedOrRepresentativesNames>והיב מיכאיל, עזבון המנוח מיכאל עבד</RepresentatedOrRepresentativesNames>
        <RepresentatedOrRepresentativesCount>2</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264072486</CasePartyID>
        <PartyTypeID>2</PartyTypeID>
        <ActivityStatusID>1</ActivityStatusID>
        <PartyAliasID>23</PartyAliasID>
        <PartyAliasName>בא כוח משיבים</PartyAliasName>
        <LegalEntityID>387047</LegalEntityID>
        <CaseLegalEntityID>127098065</CaseLegalEntityID>
        <AuthenticationTypeID>4</AuthenticationTypeID>
        <AuthenticationTypeName>מ.ר.</AuthenticationTypeName>
        <LegalEntityNumber>11350</LegalEntityNumber>
        <IsMainPartyType>true</IsMainPartyType>
        <CaseDisplayIdentifier>51377-12-23</CaseDisplayIdentifier>
        <CaseTypeID>63</CaseTypeID>
        <CaseTypeName>ערעור משפחה (עמ"ש)</CaseTypeName>
        <CaseName>מיכאיל עבד נ' מיכאל עבד(המנוח) ואח'</CaseName>
        <FullAddress>כיאט 3 א' חיפה ת.ד 33375</FullAddress>
        <EmailAddress>alfredsader240@gmail.com</EmailAddress>
        <MotionID>0</MotionID>
        <CasePleaID>0</CasePleaID>
        <FatherName xml:space="preserve">        </FatherName>
        <LinkedCaseID>0</LinkedCaseID>
        <PartyID>2</PartyID>
        <CasePartyCategoryID>2</CasePartyCategoryID>
        <LegalEntityAddressID>84268602</LegalEntityAddressID>
        <LegalEntityEmailAddressID>67860867</LegalEntityEmailAddressID>
        <PleaTypeID>6</PleaTypeID>
        <LawyerOfficeName>משרד עו"ד: אלפרד סאדר</LawyerOfficeName>
        <LawyerOfficeID>427691</LawyerOfficeID>
        <GroupPartyAlias/>
        <IsConverted>false</IsConverted>
        <LegalEntityNameID>8031</LegalEntityNameID>
        <RepresentatedNamesOfAssistant/>
        <LegalEntityTypeID>4</LegalEntityTypeID>
        <IsVerdictExists>false</IsVerdictExists>
        <IsAsirAzir>false</IsAsirAzir>
        <MainAndSecSpec/>
        <IsPublicationProhibited>false</IsPublicationProhibited>
        <PublicationProhibitedFullName>אלפרד סאדר</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מוניב מיכאיל עבד</FullName>
        <FirstName>מוניב</FirstName>
        <LastName>מיכאיל עבד</LastName>
        <PartyPropertyName/>
        <AuthenticationTypeAndNumber>ת"ז </AuthenticationTypeAndNumber>
        <RepresentatedOrRepresentativesNames>ויטולד איראני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264069220</CasePartyID>
        <PartyTypeID>1</PartyTypeID>
        <ActivityStatusID>1</ActivityStatusID>
        <PartyAliasID>5</PartyAliasID>
        <PartyAliasName>מערער</PartyAliasName>
        <OrdinalNumber>1</OrdinalNumber>
        <LegalEntityID>75642625</LegalEntityID>
        <CaseLegalEntityID>127096739</CaseLegalEntityID>
        <AuthenticationTypeID>1</AuthenticationTypeID>
        <AuthenticationTypeName>ת"ז</AuthenticationTypeName>
        <IsMainPartyType>true</IsMainPartyType>
        <CaseDisplayIdentifier>51377-12-23</CaseDisplayIdentifier>
        <CaseTypeID>63</CaseTypeID>
        <CaseTypeName>ערעור משפחה (עמ"ש)</CaseTypeName>
        <CaseName>מיכאיל עבד נ' מיכאל עבד(המנוח) ואח'</CaseName>
        <FullAddress>מעיליא </FullAddress>
        <MotionID>0</MotionID>
        <CasePleaID>0</CasePleaID>
        <LinkedCaseID>0</LinkedCaseID>
        <PartyID>1</PartyID>
        <CasePartyCategoryID>2</CasePartyCategoryID>
        <LegalEntityAddressID>88753337</LegalEntityAddressID>
        <PleaTypeID>6</PleaTypeID>
        <GroupPartyAlias>מערערים</GroupPartyAlias>
        <IsConverted>false</IsConverted>
        <LegalEntityNameID>82343655</LegalEntityNameID>
        <RepresentatedNamesOfAssistant/>
        <LegalEntityTypeID>1</LegalEntityTypeID>
        <IsVerdictExists>false</IsVerdictExists>
        <IsAsirAzir>false</IsAsirAzir>
        <MainAndSecSpec/>
        <IsPublicationProhibited>false</IsPublicationProhibited>
        <PublicationProhibitedFullName>מוניב מיכאיל עבד</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ויטולד איראני</FullName>
        <FirstName>ויטולד</FirstName>
        <LastName>איראני</LastName>
        <PartyPropertyName/>
        <AuthenticationTypeAndNumber>מ.ר. 13897</AuthenticationTypeAndNumber>
        <RepresentatedOrRepresentativesNames>מוניב מיכאיל עבד</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264069225</CasePartyID>
        <PartyTypeID>2</PartyTypeID>
        <ActivityStatusID>1</ActivityStatusID>
        <PartyAliasID>24</PartyAliasID>
        <PartyAliasName>בא כוח מערערים</PartyAliasName>
        <OrdinalNumber>1</OrdinalNumber>
        <LegalEntityID>383174</LegalEntityID>
        <CaseLegalEntityID>127096744</CaseLegalEntityID>
        <AuthenticationTypeID>4</AuthenticationTypeID>
        <AuthenticationTypeName>מ.ר.</AuthenticationTypeName>
        <LegalEntityNumber>13897</LegalEntityNumber>
        <IsMainPartyType>true</IsMainPartyType>
        <CaseDisplayIdentifier>51377-12-23</CaseDisplayIdentifier>
        <CaseTypeID>63</CaseTypeID>
        <CaseTypeName>ערעור משפחה (עמ"ש)</CaseTypeName>
        <CaseName>מיכאיל עבד נ' מיכאל עבד(המנוח) ואח'</CaseName>
        <FullAddress>שד' בן גוריון 33 חיפה </FullAddress>
        <MotionID>0</MotionID>
        <CasePleaID>0</CasePleaID>
        <LinkedCaseID>0</LinkedCaseID>
        <PartyID>1</PartyID>
        <CasePartyCategoryID>2</CasePartyCategoryID>
        <LegalEntityAddressID>421330</LegalEntityAddressID>
        <PleaTypeID>6</PleaTypeID>
        <LawyerOfficeName>איראני ויטולד עורכי דין</LawyerOfficeName>
        <LawyerOfficeID>418992</LawyerOfficeID>
        <GroupPartyAlias/>
        <IsConverted>false</IsConverted>
        <LegalEntityNameID>4158</LegalEntityNameID>
        <RepresentatedNamesOfAssistant/>
        <LegalEntityTypeID>4</LegalEntityTypeID>
        <IsVerdictExists>false</IsVerdictExists>
        <IsAsirAzir>false</IsAsirAzir>
        <MainAndSecSpec/>
        <IsPublicationProhibited>false</IsPublicationProhibited>
        <PublicationProhibitedFullName>ויטולד איראני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עימאד חמאיסי</FullName>
        <FirstName>עימאד</FirstName>
        <LastName>חמאיסי</LastName>
        <PartyPropertyName/>
        <AuthenticationTypeAndNumber>מ.ר. 19108</AuthenticationTypeAndNumber>
        <RepresentatedOrRepresentativesNames>עזבון המנוח סלים מיכאל עבד, עאידה עבד, ענאן עבד, רנין עבד, בהיה עבד זנד, ניבין עבד ח'ורי</RepresentatedOrRepresentativesNames>
        <RepresentatedOrRepresentativesCount>6</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264072495</CasePartyID>
        <PartyTypeID>2</PartyTypeID>
        <ActivityStatusID>1</ActivityStatusID>
        <PartyAliasID>23</PartyAliasID>
        <PartyAliasName>בא כוח משיבים</PartyAliasName>
        <OrdinalNumber>1</OrdinalNumber>
        <LegalEntityID>383293</LegalEntityID>
        <CaseLegalEntityID>127098067</CaseLegalEntityID>
        <AuthenticationTypeID>4</AuthenticationTypeID>
        <AuthenticationTypeName>מ.ר.</AuthenticationTypeName>
        <LegalEntityNumber>19108</LegalEntityNumber>
        <IsMainPartyType>true</IsMainPartyType>
        <CaseDisplayIdentifier>51377-12-23</CaseDisplayIdentifier>
        <CaseTypeID>63</CaseTypeID>
        <CaseTypeName>ערעור משפחה (עמ"ש)</CaseTypeName>
        <CaseName>מיכאיל עבד נ' מיכאל עבד(המנוח) ואח'</CaseName>
        <FullAddress>ת.ד 2147 כפר כנא ת.ד 2147</FullAddress>
        <EmailAddress>emad.khamaysi@gmail.com</EmailAddress>
        <MotionID>0</MotionID>
        <CasePleaID>0</CasePleaID>
        <LinkedCaseID>0</LinkedCaseID>
        <PartyID>2</PartyID>
        <CasePartyCategoryID>2</CasePartyCategoryID>
        <LegalEntityAddressID>80347977</LegalEntityAddressID>
        <LegalEntityEmailAddressID>68074747</LegalEntityEmailAddressID>
        <PleaTypeID>6</PleaTypeID>
        <LawyerOfficeName>משרד עו"ד: עימאד חמאיסי</LawyerOfficeName>
        <LawyerOfficeID>423937</LawyerOfficeID>
        <GroupPartyAlias/>
        <IsConverted>false</IsConverted>
        <LegalEntityNameID>4277</LegalEntityNameID>
        <RepresentatedNamesOfAssistant/>
        <LegalEntityTypeID>4</LegalEntityTypeID>
        <IsVerdictExists>false</IsVerdictExists>
        <IsAsirAzir>false</IsAsirAzir>
        <MainAndSecSpec/>
        <IsPublicationProhibited>false</IsPublicationProhibited>
        <PublicationProhibitedFullName>עימאד חמאיסי</PublicationProhibitedFullName>
      </CaseParties>
      <CaseParties>
        <PartyTypeName>צד</PartyTypeName>
        <ProceedingType>כתב טענות עיקרי</ProceedingType>
        <PleaName>הודעת ערעור</PleaName>
        <PartyBelonging>צד ב'</PartyBelonging>
        <RoleName>משיב 1 - משיב</RoleName>
        <IsSubProceeding>FALSE</IsSubProceeding>
        <FullName>עזבון המנוח מיכאל עבד (המנוח)</FullName>
        <FirstName>עזבון המנוח</FirstName>
        <LastName>מיכאל עבד</LastName>
        <PartyPropertyID>12</PartyPropertyID>
        <PartyPropertyName/>
        <AuthenticationTypeAndNumber>ת"ז 020854766</AuthenticationTypeAndNumber>
        <RepresentatedOrRepresentativesNames>אלפרד סאדר</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264069223</CasePartyID>
        <PartyTypeID>1</PartyTypeID>
        <ActivityStatusID>1</ActivityStatusID>
        <PartyAliasID>4</PartyAliasID>
        <PartyAliasName>משיב</PartyAliasName>
        <OrdinalNumber>1</OrdinalNumber>
        <LegalEntityID>69541821</LegalEntityID>
        <CaseLegalEntityID>127096742</CaseLegalEntityID>
        <AuthenticationTypeID>1</AuthenticationTypeID>
        <AuthenticationTypeName>ת"ז</AuthenticationTypeName>
        <LegalEntityNumber>020854766</LegalEntityNumber>
        <IsMainPartyType>true</IsMainPartyType>
        <CaseDisplayIdentifier>51377-12-23</CaseDisplayIdentifier>
        <CaseTypeID>63</CaseTypeID>
        <CaseTypeName>ערעור משפחה (עמ"ש)</CaseTypeName>
        <CaseName>מיכאיל עבד נ' מיכאל עבד(המנוח) ואח'</CaseName>
        <FullAddress/>
        <MotionID>0</MotionID>
        <CasePleaID>0</CasePleaID>
        <FatherName>סלים</FatherName>
        <LinkedCaseID>0</LinkedCaseID>
        <PartyID>2</PartyID>
        <CasePartyCategoryID>2</CasePartyCategoryID>
        <PleaTypeID>6</PleaTypeID>
        <GroupPartyAlias>משיבים</GroupPartyAlias>
        <IsConverted>false</IsConverted>
        <LegalEntityNameID>95897027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עזבון המנוח מיכאל עבד (המנוח)</PublicationProhibitedFullName>
      </CaseParties>
      <CaseParties>
        <PartyTypeName>צד</PartyTypeName>
        <ProceedingType>כתב טענות עיקרי</ProceedingType>
        <PleaName>הודעת ערעור</PleaName>
        <PartyBelonging>צד ב'</PartyBelonging>
        <RoleName>משיב 2 - משיב</RoleName>
        <IsSubProceeding>FALSE</IsSubProceeding>
        <FullName>והיב מיכאיל</FullName>
        <FirstName>והיב</FirstName>
        <LastName>מיכאיל</LastName>
        <PartyPropertyName/>
        <AuthenticationTypeAndNumber>ת"ז </AuthenticationTypeAndNumber>
        <RepresentatedOrRepresentativesNames>אלפרד סאדר</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264069224</CasePartyID>
        <PartyTypeID>1</PartyTypeID>
        <ActivityStatusID>1</ActivityStatusID>
        <PartyAliasID>4</PartyAliasID>
        <PartyAliasName>משיב</PartyAliasName>
        <OrdinalNumber>2</OrdinalNumber>
        <LegalEntityID>75642594</LegalEntityID>
        <CaseLegalEntityID>127096743</CaseLegalEntityID>
        <AuthenticationTypeID>1</AuthenticationTypeID>
        <AuthenticationTypeName>ת"ז</AuthenticationTypeName>
        <IsMainPartyType>true</IsMainPartyType>
        <CaseDisplayIdentifier>51377-12-23</CaseDisplayIdentifier>
        <CaseTypeID>63</CaseTypeID>
        <CaseTypeName>ערעור משפחה (עמ"ש)</CaseTypeName>
        <CaseName>מיכאיל עבד נ' מיכאל עבד(המנוח) ואח'</CaseName>
        <FullAddress>מעיליא </FullAddress>
        <MotionID>0</MotionID>
        <CasePleaID>0</CasePleaID>
        <LinkedCaseID>0</LinkedCaseID>
        <PartyID>2</PartyID>
        <CasePartyCategoryID>2</CasePartyCategoryID>
        <LegalEntityAddressID>88753363</LegalEntityAddressID>
        <PleaTypeID>6</PleaTypeID>
        <GroupPartyAlias>משיבים</GroupPartyAlias>
        <IsConverted>false</IsConverted>
        <LegalEntityNameID>82343600</LegalEntityNameID>
        <RepresentatedNamesOfAssistant/>
        <LegalEntityTypeID>1</LegalEntityTypeID>
        <IsVerdictExists>false</IsVerdictExists>
        <IsAsirAzir>false</IsAsirAzir>
        <MainAndSecSpec/>
        <IsPublicationProhibited>false</IsPublicationProhibited>
        <PublicationProhibitedFullName>והיב מיכאיל</PublicationProhibitedFullName>
      </CaseParties>
      <CaseParties>
        <PartyTypeName>צד</PartyTypeName>
        <ProceedingType>כתב טענות עיקרי</ProceedingType>
        <PleaName>הודעת ערעור</PleaName>
        <PartyBelonging>צד ב'</PartyBelonging>
        <RoleName>משיב 3 - מבקש</RoleName>
        <IsSubProceeding>FALSE</IsSubProceeding>
        <FullName>עזבון המנוח סלים מיכאל עבד (המנוח)</FullName>
        <FirstName>עזבון המנוח</FirstName>
        <LastName>סלים מיכאל עבד</LastName>
        <PartyPropertyID>12</PartyPropertyID>
        <PartyPropertyName/>
        <AuthenticationTypeAndNumber>ת"ז </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264069221</CasePartyID>
        <PartyTypeID>1</PartyTypeID>
        <ActivityStatusID>1</ActivityStatusID>
        <PartyAliasID>4</PartyAliasID>
        <PartyAliasName>משיב</PartyAliasName>
        <OrdinalNumber>3</OrdinalNumber>
        <LegalEntityID>75642593</LegalEntityID>
        <CaseLegalEntityID>127096740</CaseLegalEntityID>
        <AuthenticationTypeID>1</AuthenticationTypeID>
        <AuthenticationTypeName>ת"ז</AuthenticationTypeName>
        <IsMainPartyType>true</IsMainPartyType>
        <CaseDisplayIdentifier>51377-12-23</CaseDisplayIdentifier>
        <CaseTypeID>63</CaseTypeID>
        <CaseTypeName>ערעור משפחה (עמ"ש)</CaseTypeName>
        <CaseName>מיכאיל עבד נ' מיכאל עבד(המנוח) ואח'</CaseName>
        <FullAddress/>
        <MotionID>0</MotionID>
        <CasePleaID>0</CasePleaID>
        <LinkedCaseID>0</LinkedCaseID>
        <PartyID>2</PartyID>
        <CasePartyCategoryID>2</CasePartyCategoryID>
        <PleaTypeID>6</PleaTypeID>
        <GroupPartyAlias>משיבים</GroupPartyAlias>
        <IsConverted>false</IsConverted>
        <LegalEntityNameID>95897064</LegalEntityNameID>
        <RepresentatedNamesOfAssistant/>
        <LegalEntityTypeID>1</LegalEntityTypeID>
        <IsVerdictExists>false</IsVerdictExists>
        <IsAsirAzir>false</IsAsirAzir>
        <MainAndSecSpec/>
        <IsPublicationProhibited>false</IsPublicationProhibited>
        <PublicationProhibitedFullName>עזבון המנוח סלים מיכאל עבד (המנוח)</PublicationProhibitedFullName>
      </CaseParties>
      <CaseParties>
        <PartyTypeName>צד</PartyTypeName>
        <ProceedingType>כתב טענות עיקרי</ProceedingType>
        <PleaName>הודעת ערעור</PleaName>
        <PartyBelonging>צד ב'</PartyBelonging>
        <RoleName>משיב 5</RoleName>
        <IsSubProceeding>FALSE</IsSubProceeding>
        <FullName>עאידה עבד</FullName>
        <FirstName>עאידה</FirstName>
        <LastName>עבד</LastName>
        <PartyPropertyName/>
        <AuthenticationTypeAndNumber>ת"ז 035328525</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264073611</CasePartyID>
        <PartyTypeID>1</PartyTypeID>
        <ActivityStatusID>1</ActivityStatusID>
        <PartyAliasID>4</PartyAliasID>
        <PartyAliasName>משיב</PartyAliasName>
        <OrdinalNumber>5</OrdinalNumber>
        <LegalEntityID>3743548</LegalEntityID>
        <CaseLegalEntityID>127098418</CaseLegalEntityID>
        <AuthenticationTypeID>1</AuthenticationTypeID>
        <AuthenticationTypeName>ת"ז</AuthenticationTypeName>
        <LegalEntityNumber>035328525</LegalEntityNumber>
        <IsMainPartyType>true</IsMainPartyType>
        <CaseDisplayIdentifier>51377-12-23</CaseDisplayIdentifier>
        <CaseTypeID>63</CaseTypeID>
        <CaseTypeName>ערעור משפחה (עמ"ש)</CaseTypeName>
        <CaseName>מיכאיל עבד נ' מיכאל עבד(המנוח) ואח'</CaseName>
        <FullAddress>. מעיליא </FullAddress>
        <EmailAddress>saleem29@bazaqint.net</EmailAddress>
        <MotionID>0</MotionID>
        <CasePleaID>0</CasePleaID>
        <FatherName>מוהנא</FatherName>
        <LinkedCaseID>0</LinkedCaseID>
        <PartyID>2</PartyID>
        <CasePartyCategoryID>2</CasePartyCategoryID>
        <LegalEntityAddressID>88753879</LegalEntityAddressID>
        <LegalEntityEmailAddressID>68335062</LegalEntityEmailAddressID>
        <PleaTypeID>6</PleaTypeID>
        <GroupPartyAlias>משיבים</GroupPartyAlias>
        <IsConverted>false</IsConverted>
        <LegalEntityRegisteredNameID>10597261</LegalEntityRegisteredNameID>
        <LegalEntityNameID>95897662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עאידה עבד</PublicationProhibitedFullName>
      </CaseParties>
      <CaseParties>
        <PartyTypeName>צד</PartyTypeName>
        <ProceedingType>כתב טענות עיקרי</ProceedingType>
        <PleaName>הודעת ערעור</PleaName>
        <PartyBelonging>צד ב'</PartyBelonging>
        <RoleName>משיב 6</RoleName>
        <IsSubProceeding>FALSE</IsSubProceeding>
        <FullName>ענאן עבד</FullName>
        <FirstName>ענאן</FirstName>
        <LastName>עבד</LastName>
        <PartyPropertyName/>
        <AuthenticationTypeAndNumber>ת"ז 026182303</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264073932</CasePartyID>
        <PartyTypeID>1</PartyTypeID>
        <ActivityStatusID>1</ActivityStatusID>
        <PartyAliasID>4</PartyAliasID>
        <PartyAliasName>משיב</PartyAliasName>
        <OrdinalNumber>6</OrdinalNumber>
        <LegalEntityID>3727900</LegalEntityID>
        <CaseLegalEntityID>127098513</CaseLegalEntityID>
        <AuthenticationTypeID>1</AuthenticationTypeID>
        <AuthenticationTypeName>ת"ז</AuthenticationTypeName>
        <LegalEntityNumber>026182303</LegalEntityNumber>
        <IsMainPartyType>true</IsMainPartyType>
        <CaseDisplayIdentifier>51377-12-23</CaseDisplayIdentifier>
        <CaseTypeID>63</CaseTypeID>
        <CaseTypeName>ערעור משפחה (עמ"ש)</CaseTypeName>
        <CaseName>מיכאיל עבד נ' מיכאל עבד(המנוח) ואח'</CaseName>
        <FullAddress>יפו 33 ירושלים </FullAddress>
        <EmailAddress>anan@sabed.co.il</EmailAddress>
        <MotionID>0</MotionID>
        <CasePleaID>0</CasePleaID>
        <FatherName>סלים</FatherName>
        <LinkedCaseID>0</LinkedCaseID>
        <PartyID>2</PartyID>
        <CasePartyCategoryID>2</CasePartyCategoryID>
        <LegalEntityAddressID>88753910</LegalEntityAddressID>
        <LegalEntityEmailAddressID>68335066</LegalEntityEmailAddressID>
        <PleaTypeID>6</PleaTypeID>
        <GroupPartyAlias>משיבים</GroupPartyAlias>
        <IsConverted>false</IsConverted>
        <LegalEntityRegisteredNameID>418772</LegalEntityRegisteredNameID>
        <LegalEntityNameID>95897698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ענאן עבד</PublicationProhibitedFullName>
      </CaseParties>
      <CaseParties>
        <PartyTypeName>צד</PartyTypeName>
        <ProceedingType>כתב טענות עיקרי</ProceedingType>
        <PleaName>הודעת ערעור</PleaName>
        <PartyBelonging>צד ב'</PartyBelonging>
        <RoleName>משיב 7</RoleName>
        <IsSubProceeding>FALSE</IsSubProceeding>
        <FullName>ניבין עבד ח'ורי</FullName>
        <FirstName>ניבין</FirstName>
        <LastName>ח'ורי</LastName>
        <PartyPropertyName/>
        <AuthenticationTypeAndNumber>ת"ז 034429647</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264074081</CasePartyID>
        <PartyTypeID>1</PartyTypeID>
        <ActivityStatusID>1</ActivityStatusID>
        <PartyAliasID>4</PartyAliasID>
        <PartyAliasName>משיב</PartyAliasName>
        <OrdinalNumber>7</OrdinalNumber>
        <LegalEntityID>81520604</LegalEntityID>
        <CaseLegalEntityID>127098557</CaseLegalEntityID>
        <AuthenticationTypeID>1</AuthenticationTypeID>
        <AuthenticationTypeName>ת"ז</AuthenticationTypeName>
        <LegalEntityNumber>034429647</LegalEntityNumber>
        <IsMainPartyType>true</IsMainPartyType>
        <CaseDisplayIdentifier>51377-12-23</CaseDisplayIdentifier>
        <CaseTypeID>63</CaseTypeID>
        <CaseTypeName>ערעור משפחה (עמ"ש)</CaseTypeName>
        <CaseName>מיכאיל עבד נ' מיכאל עבד(המנוח) ואח'</CaseName>
        <FullAddress>תרשיחא </FullAddress>
        <EmailAddress>neveen68@yahoo.com</EmailAddress>
        <MotionID>0</MotionID>
        <CasePleaID>0</CasePleaID>
        <BirthDate>1978-03-15T00:00:00+02:00</BirthDate>
        <FatherName>סלים</FatherName>
        <LinkedCaseID>0</LinkedCaseID>
        <PartyID>2</PartyID>
        <CasePartyCategoryID>2</CasePartyCategoryID>
        <LegalEntityAddressID>88753927</LegalEntityAddressID>
        <LegalEntityEmailAddressID>68335069</LegalEntityEmailAddressID>
        <GrandfatherName/>
        <DrivingLicenseNumber>6918102</DrivingLicenseNumber>
        <PleaTypeID>6</PleaTypeID>
        <GroupPartyAlias>משיבים</GroupPartyAlias>
        <IsConverted>false</IsConverted>
        <LegalEntityRegisteredNameID>10535295</LegalEntityRegisteredNameID>
        <LegalEntityNameID>95897714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ניבין עבד ח'ורי</PublicationProhibitedFullName>
      </CaseParties>
      <CaseParties>
        <PartyTypeName>צד</PartyTypeName>
        <ProceedingType>כתב טענות עיקרי</ProceedingType>
        <PleaName>הודעת ערעור</PleaName>
        <PartyBelonging>צד ב'</PartyBelonging>
        <RoleName>משיב 8</RoleName>
        <IsSubProceeding>FALSE</IsSubProceeding>
        <FullName>רנין עבד</FullName>
        <FirstName>רנין</FirstName>
        <LastName>עבד</LastName>
        <PartyPropertyName/>
        <AuthenticationTypeAndNumber>ת"ז 062841580</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264074174</CasePartyID>
        <PartyTypeID>1</PartyTypeID>
        <ActivityStatusID>1</ActivityStatusID>
        <PartyAliasID>4</PartyAliasID>
        <PartyAliasName>משיב</PartyAliasName>
        <OrdinalNumber>8</OrdinalNumber>
        <LegalEntityID>12755480</LegalEntityID>
        <CaseLegalEntityID>127098580</CaseLegalEntityID>
        <AuthenticationTypeID>1</AuthenticationTypeID>
        <AuthenticationTypeName>ת"ז</AuthenticationTypeName>
        <LegalEntityNumber>062841580</LegalEntityNumber>
        <IsMainPartyType>true</IsMainPartyType>
        <CaseDisplayIdentifier>51377-12-23</CaseDisplayIdentifier>
        <CaseTypeID>63</CaseTypeID>
        <CaseTypeName>ערעור משפחה (עמ"ש)</CaseTypeName>
        <CaseName>מיכאיל עבד נ' מיכאל עבד(המנוח) ואח'</CaseName>
        <FullAddress>. מעיליא </FullAddress>
        <EmailAddress>raneenm82@gmail.com</EmailAddress>
        <MotionID>0</MotionID>
        <CasePleaID>0</CasePleaID>
        <FatherName>סלים</FatherName>
        <LinkedCaseID>0</LinkedCaseID>
        <PartyID>2</PartyID>
        <CasePartyCategoryID>2</CasePartyCategoryID>
        <LegalEntityAddressID>88753935</LegalEntityAddressID>
        <LegalEntityEmailAddressID>68335071</LegalEntityEmailAddressID>
        <PleaTypeID>6</PleaTypeID>
        <GroupPartyAlias>משיבים</GroupPartyAlias>
        <IsConverted>false</IsConverted>
        <LegalEntityRegisteredNameID>493168</LegalEntityRegisteredNameID>
        <LegalEntityNameID>95897724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רנין עבד</PublicationProhibitedFullName>
      </CaseParties>
      <CaseParties>
        <PartyTypeName>צד</PartyTypeName>
        <ProceedingType>כתב טענות עיקרי</ProceedingType>
        <PleaName>הודעת ערעור</PleaName>
        <PartyBelonging>צד ב'</PartyBelonging>
        <RoleName>משיב 9</RoleName>
        <IsSubProceeding>FALSE</IsSubProceeding>
        <FullName>בהיה עבד זנד</FullName>
        <FirstName>בהיה</FirstName>
        <LastName>עבד זנד</LastName>
        <PartyPropertyName/>
        <AuthenticationTypeAndNumber>ת"ז 026510594</AuthenticationTypeAndNumber>
        <RepresentatedOrRepresentativesNames>עימאד חמאיסי</RepresentatedOrRepresentativesNames>
        <RepresentatedOrRepresentativesCount>1</RepresentatedOrRepresentativesCount>
        <InvitedBy/>
        <CaseID>80852474</CaseID>
        <CaseJudicialPersonPresentationDS>
          <CaseJudicalPersonActive>
            <CaseID>80852474</CaseID>
            <JudicialPersonID>056479827@GOV.IL</JudicialPersonID>
            <JudicialPersonTypeID>1</JudicialPersonTypeID>
            <JudicialTypeID>3</JudicialTypeID>
            <IsChairman>true</IsChairman>
            <TreatmentStartDate>2024-02-18T11:17:05.713+02:00</TreatmentStartDate>
            <TreatmentFinishDate>9999-12-31T23:59:59+02:00</TreatmentFinishDate>
            <IdentificationCardNumber>056479827</IdentificationCardNumber>
            <DisplayName>חננאל שרעבי</DisplayName>
            <JudicialTypeName>הרכב שופטים</JudicialTypeName>
            <CaseJudicialGroupNumber>568915</CaseJudicialGroupNumber>
            <FirstName>חננאל</FirstName>
            <LastName>שרעבי</LastName>
            <JudicialPersonTitle>שופט</JudicialPersonTitle>
          </CaseJudicalPersonActive>
          <CaseJudicalPersonActive>
            <CaseID>80852474</CaseID>
            <JudicialPersonID>057955775@GOV.IL</JudicialPersonID>
            <JudicialPersonTypeID>1</JudicialPersonTypeID>
            <JudicialTypeID>3</JudicialTypeID>
            <IsChairman>false</IsChairman>
            <TreatmentStartDate>2024-02-18T11:17:05.713+02:00</TreatmentStartDate>
            <TreatmentFinishDate>9999-12-31T23:59:59+02:00</TreatmentFinishDate>
            <IdentificationCardNumber>057955775</IdentificationCardNumber>
            <DisplayName>אספרנצה אלון</DisplayName>
            <JudicialTypeName>הרכב שופטים</JudicialTypeName>
            <CaseJudicialGroupNumber>568915</CaseJudicialGroupNumber>
            <FirstName>אספרנצה</FirstName>
            <LastName>אלון</LastName>
            <JudicialPersonTitle>שופט</JudicialPersonTitle>
          </CaseJudicalPersonActive>
          <CaseJudicalPersonActive>
            <CaseID>80852474</CaseID>
            <JudicialPersonID>058677980@GOV.IL</JudicialPersonID>
            <JudicialPersonTypeID>1</JudicialPersonTypeID>
            <JudicialTypeID>3</JudicialTypeID>
            <IsChairman>false</IsChairman>
            <TreatmentStartDate>2024-02-18T11:17:05.713+02:00</TreatmentStartDate>
            <TreatmentFinishDate>9999-12-31T23:59:59+02:00</TreatmentFinishDate>
            <IdentificationCardNumber>058677980</IdentificationCardNumber>
            <DisplayName>אריה נאמן</DisplayName>
            <JudicialTypeName>הרכב שופטים</JudicialTypeName>
            <CaseJudicialGroupNumber>568915</CaseJudicialGroupNumber>
            <FirstName>אריה</FirstName>
            <LastName>נאמן</LastName>
            <JudicialPersonTitle>שופט</JudicialPersonTitle>
          </CaseJudicalPersonActive>
        </CaseJudicialPersonPresentationDS>
        <CasePartyID>264074259</CasePartyID>
        <PartyTypeID>1</PartyTypeID>
        <ActivityStatusID>1</ActivityStatusID>
        <PartyAliasID>4</PartyAliasID>
        <PartyAliasName>משיב</PartyAliasName>
        <OrdinalNumber>9</OrdinalNumber>
        <LegalEntityID>72314031</LegalEntityID>
        <CaseLegalEntityID>127098619</CaseLegalEntityID>
        <AuthenticationTypeID>1</AuthenticationTypeID>
        <AuthenticationTypeName>ת"ז</AuthenticationTypeName>
        <LegalEntityNumber>026510594</LegalEntityNumber>
        <IsMainPartyType>true</IsMainPartyType>
        <CaseDisplayIdentifier>51377-12-23</CaseDisplayIdentifier>
        <CaseTypeID>63</CaseTypeID>
        <CaseTypeName>ערעור משפחה (עמ"ש)</CaseTypeName>
        <CaseName>מיכאיל עבד נ' מיכאל עבד(המנוח) ואח'</CaseName>
        <FullAddress>אלמוג 16 חיפה </FullAddress>
        <EmailAddress>bouba.abed@gmail.com</EmailAddress>
        <MotionID>0</MotionID>
        <CasePleaID>0</CasePleaID>
        <FatherName>סלים</FatherName>
        <LinkedCaseID>0</LinkedCaseID>
        <PartyID>2</PartyID>
        <CasePartyCategoryID>2</CasePartyCategoryID>
        <LegalEntityAddressID>88753955</LegalEntityAddressID>
        <LegalEntityEmailAddressID>68335074</LegalEntityEmailAddressID>
        <PleaTypeID>6</PleaTypeID>
        <GroupPartyAlias>משיבים</GroupPartyAlias>
        <IsConverted>false</IsConverted>
        <LegalEntityNameID>95897746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בהיה עבד זנד</PublicationProhibitedFullName>
      </CaseParties>
    </CasePartiesSelectionDS>
    <CaseName>מיכאיל עבד נ' מיכאל עבד(המנוח) ואח'</CaseName>
    <CaseDisplayIdentifier>51377-12-23</CaseDisplayIdentifier>
    <CaseInterestID>10336</CaseInterestID>
    <CaseTypeShortName>עמ"ש</CaseTypeShortName>
  </dt_DecisionCase>
  <dt_DecisionCase>
    <DecisionID>0</DecisionID>
    <CaseID>80854454</CaseID>
    <CaseJudicialPersonPresentationDS/>
    <CasePartiesSelectionDS/>
    <CaseName>מיכאיל עבד(המנוח) ואח' נ' מיכאיל עבד(המנוח) ואח'</CaseName>
    <CaseDisplayIdentifier>53261-12-23</CaseDisplayIdentifier>
    <CaseInterestID>10336</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Fax>04-8620133</Fax>
    <Phone>04-8511166</Phone>
    <AddressDesc>ת.ד 33375</AddressDesc>
    <PartyID>2</PartyID>
    <PartyTypeID>2</PartyTypeID>
    <DecisionID>0</DecisionID>
    <StreetName>כיאט 3 א'</StreetName>
    <ZipCode>33261</ZipCode>
    <CityName>חיפה</CityName>
    <FullName>אלפרד סאדר</FullName>
    <Email>alfredsader240@gmail.com</Email>
    <IsPublicationProhibited>false</IsPublicationProhibited>
  </dt_LegalEntityDetails>
  <dt_LegalEntityDetails>
    <PartyID>1</PartyID>
    <PartyTypeID>1</PartyTypeID>
    <DecisionID>0</DecisionID>
    <ZipCode>2514000</ZipCode>
    <CityName>מעיליא</CityName>
    <FullName>מוניב  מיכאיל עבד </FullName>
    <IsPublicationProhibited>false</IsPublicationProhibited>
  </dt_LegalEntityDetails>
  <dt_LegalEntityDetails>
    <PartyID>2</PartyID>
    <PartyTypeID>1</PartyTypeID>
    <DecisionID>0</DecisionID>
    <FullName>עזבון המנוח מיכאל עבד</FullName>
    <IsPublicationProhibited>false</IsPublicationProhibited>
  </dt_LegalEntityDetails>
  <dt_LegalEntityDetails>
    <Fax>04-8511770</Fax>
    <PartyID>1</PartyID>
    <PartyTypeID>2</PartyTypeID>
    <DecisionID>0</DecisionID>
    <StreetName>שד' בן גוריון 33</StreetName>
    <ZipCode>31084</ZipCode>
    <CityName>חיפה</CityName>
    <FullName>ויטולד איראני</FullName>
    <Email>iranilaw@gmail.com</Email>
    <IsPublicationProhibited>false</IsPublicationProhibited>
  </dt_LegalEntityDetails>
  <dt_LegalEntityDetails>
    <Fax>04-6517702</Fax>
    <Phone>04-6519990</Phone>
    <AddressDesc>ת.ד 2147</AddressDesc>
    <PartyID>2</PartyID>
    <PartyTypeID>2</PartyTypeID>
    <DecisionID>0</DecisionID>
    <StreetName>ת.ד 2147</StreetName>
    <ZipCode>16930</ZipCode>
    <CityName>כפר כנא</CityName>
    <FullName>עימאד חמאיסי</FullName>
    <Email>emad.khamaysi@gmail.com</Email>
    <IsPublicationProhibited>false</IsPublicationProhibited>
  </dt_LegalEntityDetails>
  <dt_LegalEntityDetails>
    <PartyID>2</PartyID>
    <PartyTypeID>1</PartyTypeID>
    <DecisionID>0</DecisionID>
    <ZipCode>2514000</ZipCode>
    <CityName>מעיליא</CityName>
    <FullName>והיב  מיכאיל </FullName>
    <IsPublicationProhibited>false</IsPublicationProhibited>
  </dt_LegalEntityDetails>
  <dt_LegalEntityDetails>
    <PartyID>2</PartyID>
    <PartyTypeID>1</PartyTypeID>
    <DecisionID>0</DecisionID>
    <FullName>עזבון המנוח סלים מיכאל עבד</FullName>
    <IsPublicationProhibited>false</IsPublicationProhibited>
  </dt_LegalEntityDetails>
  <dt_LegalEntityDetails>
    <PartyID>2</PartyID>
    <PartyTypeID>1</PartyTypeID>
    <DecisionID>0</DecisionID>
    <StreetName>.</StreetName>
    <ZipCode>2514000</ZipCode>
    <CityName>מעיליא</CityName>
    <FullName>עאידה עבד</FullName>
    <Email>saleem29@bazaqint.net</Email>
    <IsPublicationProhibited>false</IsPublicationProhibited>
  </dt_LegalEntityDetails>
  <dt_LegalEntityDetails>
    <PartyID>2</PartyID>
    <PartyTypeID>1</PartyTypeID>
    <DecisionID>0</DecisionID>
    <StreetName>יפו 33</StreetName>
    <CityName>ירושלים</CityName>
    <FullName>ענאן עבד</FullName>
    <Email>anan@sabed.co.il</Email>
    <IsPublicationProhibited>false</IsPublicationProhibited>
  </dt_LegalEntityDetails>
  <dt_LegalEntityDetails>
    <PartyID>2</PartyID>
    <PartyTypeID>1</PartyTypeID>
    <DecisionID>0</DecisionID>
    <ZipCode>2156000</ZipCode>
    <CityName>תרשיחא</CityName>
    <FullName>ניבין עבד ח'ורי</FullName>
    <Email>neveen68@yahoo.com</Email>
    <IsPublicationProhibited>false</IsPublicationProhibited>
  </dt_LegalEntityDetails>
  <dt_LegalEntityDetails>
    <PartyID>2</PartyID>
    <PartyTypeID>1</PartyTypeID>
    <DecisionID>0</DecisionID>
    <StreetName>.</StreetName>
    <ZipCode>2514000</ZipCode>
    <CityName>מעיליא</CityName>
    <FullName>רנין עבד</FullName>
    <Email>raneenm82@gmail.com</Email>
    <IsPublicationProhibited>false</IsPublicationProhibited>
  </dt_LegalEntityDetails>
  <dt_LegalEntityDetails>
    <PartyID>2</PartyID>
    <PartyTypeID>1</PartyTypeID>
    <DecisionID>0</DecisionID>
    <StreetName>אלמוג 16</StreetName>
    <CityName>חיפה</CityName>
    <FullName>בהיה עבד זנד</FullName>
    <Email>bouba.abed@gmail.com</Email>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2024-06-24T09:30:00+03:00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5BE3C-57C8-472B-8FCE-9653D3A72D37}">
  <ds:schemaRefs/>
</ds:datastoreItem>
</file>

<file path=customXml/itemProps2.xml><?xml version="1.0" encoding="utf-8"?>
<ds:datastoreItem xmlns:ds="http://schemas.openxmlformats.org/officeDocument/2006/customXml" ds:itemID="{A4F20B19-D46B-4374-A329-CE97F918E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14912</Words>
  <Characters>74563</Characters>
  <Application>Microsoft Office Word</Application>
  <DocSecurity>0</DocSecurity>
  <Lines>621</Lines>
  <Paragraphs>178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2024-07-25T13:06:00Z</dcterms:created>
  <dcterms:modified xsi:type="dcterms:W3CDTF">2024-07-25T13:06:00Z</dcterms:modified>
</cp:coreProperties>
</file>